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2277F4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0551E6" w:rsidRDefault="000551E6" w:rsidP="000551E6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0A55FF0" wp14:editId="335E268C">
                  <wp:extent cx="328930" cy="420370"/>
                  <wp:effectExtent l="19050" t="0" r="13970" b="1701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F3280">
              <w:rPr>
                <w:noProof/>
                <w:lang w:eastAsia="en-GB"/>
              </w:rPr>
              <w:drawing>
                <wp:inline distT="0" distB="0" distL="0" distR="0" wp14:anchorId="3DF990B7" wp14:editId="2A319DBD">
                  <wp:extent cx="20955" cy="10795"/>
                  <wp:effectExtent l="0" t="0" r="0" b="0"/>
                  <wp:docPr id="31" name="Picture 31" descr="C:\Users\GA1566\AppData\Local\Microsoft\Windows\Temporary Internet Files\Content.IE5\2CY4M7EU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1566\AppData\Local\Microsoft\Windows\Temporary Internet Files\Content.IE5\2CY4M7EU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1E6" w:rsidRDefault="000551E6" w:rsidP="000551E6">
            <w:pPr>
              <w:rPr>
                <w:noProof/>
                <w:lang w:eastAsia="en-GB"/>
              </w:rPr>
            </w:pPr>
          </w:p>
          <w:p w:rsidR="00310076" w:rsidRPr="005E0786" w:rsidRDefault="002277F4" w:rsidP="005E0786">
            <w:pPr>
              <w:rPr>
                <w:noProof/>
                <w:lang w:eastAsia="en-GB"/>
              </w:rPr>
            </w:pPr>
            <w:r w:rsidRPr="002277F4">
              <w:rPr>
                <w:noProof/>
                <w:lang w:eastAsia="en-GB"/>
              </w:rPr>
              <w:t>Find and use relevant evidence, information  and  ideas.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EF3280" w:rsidRDefault="00EF3280" w:rsidP="0071330D">
            <w:pPr>
              <w:ind w:left="36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C7D2CA8" wp14:editId="7927106E">
                  <wp:extent cx="366547" cy="340242"/>
                  <wp:effectExtent l="19050" t="0" r="14605" b="155575"/>
                  <wp:docPr id="97" name="Picture 97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4" cy="33892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5178" w:rsidRDefault="007B22D6" w:rsidP="007B22D6">
            <w:pPr>
              <w:jc w:val="both"/>
            </w:pPr>
            <w:r>
              <w:t>Select measuring instruments that allow them to  make a series of accurate measurements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0F3700" w:rsidRDefault="000F3700" w:rsidP="000F370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AAE3F46" wp14:editId="39BE4F40">
                  <wp:extent cx="250722" cy="414670"/>
                  <wp:effectExtent l="19050" t="0" r="16510" b="175895"/>
                  <wp:docPr id="5" name="Picture 5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A66FD0" w:rsidP="00A66FD0">
            <w:r>
              <w:t>Begin to evaluate how far success criteria fully reflect successful outcomes.</w:t>
            </w:r>
          </w:p>
        </w:tc>
      </w:tr>
      <w:tr w:rsidR="00310076" w:rsidTr="002277F4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5443FA" w:rsidRDefault="000551E6" w:rsidP="000551E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C2EAE4D" wp14:editId="55E1B17D">
                  <wp:extent cx="328930" cy="420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4125BB"/>
          <w:p w:rsidR="00E95178" w:rsidRPr="002277F4" w:rsidRDefault="002277F4" w:rsidP="002277F4">
            <w:r w:rsidRPr="002277F4">
              <w:t>Systematically plan their enquiries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71330D" w:rsidRDefault="0071330D" w:rsidP="0071330D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E62E971" wp14:editId="43A27682">
                  <wp:extent cx="400912" cy="372140"/>
                  <wp:effectExtent l="19050" t="0" r="18415" b="161290"/>
                  <wp:docPr id="99" name="Picture 9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6" cy="3777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1330D">
              <w:t xml:space="preserve"> </w:t>
            </w:r>
          </w:p>
          <w:p w:rsidR="00310076" w:rsidRDefault="007B22D6" w:rsidP="007B22D6">
            <w:r>
              <w:t>Regularly check progress and revise the method  where necessary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F7265E" w:rsidRDefault="00B678F3" w:rsidP="00B678F3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A926A1" wp14:editId="563BBA51">
                  <wp:extent cx="250722" cy="414670"/>
                  <wp:effectExtent l="19050" t="0" r="16510" b="175895"/>
                  <wp:docPr id="6" name="Picture 6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A66FD0" w:rsidRDefault="00A66FD0" w:rsidP="00A66FD0">
            <w:pPr>
              <w:rPr>
                <w:sz w:val="20"/>
                <w:szCs w:val="20"/>
              </w:rPr>
            </w:pPr>
            <w:r w:rsidRPr="00A66FD0">
              <w:rPr>
                <w:sz w:val="20"/>
                <w:szCs w:val="20"/>
              </w:rPr>
              <w:t>Identify the l</w:t>
            </w:r>
            <w:r>
              <w:rPr>
                <w:sz w:val="20"/>
                <w:szCs w:val="20"/>
              </w:rPr>
              <w:t xml:space="preserve">earning/thinking strategy they </w:t>
            </w:r>
            <w:r w:rsidRPr="00A66FD0">
              <w:rPr>
                <w:sz w:val="20"/>
                <w:szCs w:val="20"/>
              </w:rPr>
              <w:t>have used……</w:t>
            </w:r>
          </w:p>
        </w:tc>
      </w:tr>
      <w:tr w:rsidR="00310076" w:rsidTr="002277F4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AE2D24" wp14:editId="16069D2A">
                  <wp:extent cx="328930" cy="4203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2277F4" w:rsidP="002277F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Make  predictions based on scientific knowledge </w:t>
            </w:r>
            <w:r>
              <w:rPr>
                <w:noProof/>
                <w:lang w:eastAsia="en-GB"/>
              </w:rPr>
              <w:t xml:space="preserve"> and  understanding, including </w:t>
            </w:r>
            <w:r>
              <w:rPr>
                <w:noProof/>
                <w:lang w:eastAsia="en-GB"/>
              </w:rPr>
              <w:t>simple models.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E80FC8" w:rsidRDefault="00743F8C" w:rsidP="00E80FC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C81AFE" wp14:editId="15C047BC">
                  <wp:extent cx="348840" cy="323805"/>
                  <wp:effectExtent l="19050" t="0" r="13335" b="133985"/>
                  <wp:docPr id="3" name="Picture 3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70" cy="33831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7B22D6" w:rsidP="00E43F44">
            <w:r w:rsidRPr="007B22D6">
              <w:rPr>
                <w:sz w:val="18"/>
                <w:szCs w:val="18"/>
              </w:rPr>
              <w:t>Organise and communicate their findings</w:t>
            </w:r>
            <w:r w:rsidR="00E43F44">
              <w:rPr>
                <w:sz w:val="18"/>
                <w:szCs w:val="18"/>
              </w:rPr>
              <w:t xml:space="preserve"> </w:t>
            </w:r>
            <w:r w:rsidRPr="007B22D6">
              <w:rPr>
                <w:sz w:val="18"/>
                <w:szCs w:val="18"/>
              </w:rPr>
              <w:t xml:space="preserve">integrating different forms in various </w:t>
            </w:r>
            <w:r>
              <w:rPr>
                <w:sz w:val="18"/>
                <w:szCs w:val="18"/>
              </w:rPr>
              <w:t xml:space="preserve">presentations and record these </w:t>
            </w:r>
            <w:r w:rsidRPr="007B22D6">
              <w:rPr>
                <w:sz w:val="18"/>
                <w:szCs w:val="18"/>
              </w:rPr>
              <w:t>systematically, using S.I. units where appropriate. Select the most appropriate</w:t>
            </w:r>
            <w:r w:rsidR="00E43F44">
              <w:rPr>
                <w:sz w:val="18"/>
                <w:szCs w:val="18"/>
              </w:rPr>
              <w:t xml:space="preserve"> </w:t>
            </w:r>
            <w:r w:rsidRPr="007B22D6">
              <w:rPr>
                <w:sz w:val="18"/>
                <w:szCs w:val="18"/>
              </w:rPr>
              <w:t xml:space="preserve">type of graph </w:t>
            </w:r>
            <w:r w:rsidR="00513270" w:rsidRPr="007B22D6">
              <w:rPr>
                <w:sz w:val="18"/>
                <w:szCs w:val="18"/>
              </w:rPr>
              <w:t>or chart</w:t>
            </w:r>
            <w:r w:rsidRPr="007B22D6">
              <w:rPr>
                <w:sz w:val="18"/>
                <w:szCs w:val="18"/>
              </w:rPr>
              <w:t xml:space="preserve"> to display data.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A66FD0" w:rsidRDefault="000F3700" w:rsidP="00A66FD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C8CB963" wp14:editId="0DB0C663">
                  <wp:extent cx="250722" cy="414670"/>
                  <wp:effectExtent l="19050" t="0" r="16510" b="175895"/>
                  <wp:docPr id="7" name="Picture 7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A66FD0" w:rsidP="00A66FD0">
            <w:bookmarkStart w:id="0" w:name="_GoBack"/>
            <w:r>
              <w:t>Link the learning to dissimilar but familiar situations.</w:t>
            </w:r>
            <w:bookmarkEnd w:id="0"/>
          </w:p>
        </w:tc>
      </w:tr>
      <w:tr w:rsidR="00310076" w:rsidTr="002277F4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627E23" wp14:editId="578DD509">
                  <wp:extent cx="32893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2277F4" w:rsidP="005E0786">
            <w:pPr>
              <w:rPr>
                <w:noProof/>
                <w:lang w:eastAsia="en-GB"/>
              </w:rPr>
            </w:pPr>
            <w:r w:rsidRPr="002277F4">
              <w:rPr>
                <w:noProof/>
                <w:lang w:eastAsia="en-GB"/>
              </w:rPr>
              <w:t>Identify key variables  and  distinguish between independent and dependent variables and those that they will keep the  same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E93EE3" w:rsidRDefault="00E93EE3" w:rsidP="00E93EE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732AFAE" wp14:editId="6E8A9840">
                  <wp:extent cx="343637" cy="318977"/>
                  <wp:effectExtent l="19050" t="0" r="18415" b="138430"/>
                  <wp:docPr id="104" name="Picture 10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7B22D6" w:rsidP="007B22D6">
            <w:r>
              <w:t>Use a line graph to describe relationships between two continuous variables. Identify bias and start to consider reliability.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310076" w:rsidRDefault="00310076" w:rsidP="004125BB"/>
        </w:tc>
      </w:tr>
      <w:tr w:rsidR="00310076" w:rsidTr="002277F4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15DE75" wp14:editId="4C04256A">
                  <wp:extent cx="328930" cy="4203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3700" w:rsidRDefault="000F3700" w:rsidP="004125BB"/>
          <w:p w:rsidR="000F3700" w:rsidRDefault="000F3700" w:rsidP="004125BB"/>
          <w:p w:rsidR="00310076" w:rsidRDefault="005E0786" w:rsidP="005E0786">
            <w:r>
              <w:t>Give some justification for their success criteria.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743F8C" w:rsidRDefault="00743F8C" w:rsidP="00743F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61C3789" wp14:editId="138B6F6B">
                  <wp:extent cx="343637" cy="318977"/>
                  <wp:effectExtent l="19050" t="0" r="18415" b="138430"/>
                  <wp:docPr id="1" name="Picture 1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43F8C" w:rsidRDefault="007B22D6" w:rsidP="007B22D6">
            <w:r w:rsidRPr="007B22D6">
              <w:rPr>
                <w:sz w:val="20"/>
                <w:szCs w:val="20"/>
              </w:rPr>
              <w:t>Use scientific knowledge and understand</w:t>
            </w:r>
            <w:r>
              <w:rPr>
                <w:sz w:val="20"/>
                <w:szCs w:val="20"/>
              </w:rPr>
              <w:t xml:space="preserve">ing, </w:t>
            </w:r>
            <w:r w:rsidRPr="007B22D6">
              <w:rPr>
                <w:sz w:val="20"/>
                <w:szCs w:val="20"/>
              </w:rPr>
              <w:t>including simple models, wh</w:t>
            </w:r>
            <w:r>
              <w:rPr>
                <w:sz w:val="20"/>
                <w:szCs w:val="20"/>
              </w:rPr>
              <w:t xml:space="preserve">en explaining their </w:t>
            </w:r>
            <w:r w:rsidRPr="007B22D6">
              <w:rPr>
                <w:sz w:val="20"/>
                <w:szCs w:val="20"/>
              </w:rPr>
              <w:t xml:space="preserve">findings……and differences between, or changes </w:t>
            </w:r>
            <w:r w:rsidR="00513270" w:rsidRPr="007B22D6">
              <w:rPr>
                <w:sz w:val="20"/>
                <w:szCs w:val="20"/>
              </w:rPr>
              <w:t>to organisms</w:t>
            </w:r>
            <w:r w:rsidRPr="007B22D6">
              <w:rPr>
                <w:sz w:val="20"/>
                <w:szCs w:val="20"/>
              </w:rPr>
              <w:t>, materials and physical phenomena</w:t>
            </w:r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310076" w:rsidRDefault="00310076" w:rsidP="004125BB"/>
        </w:tc>
      </w:tr>
      <w:tr w:rsidR="00310076" w:rsidTr="002277F4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21427A" w:rsidRDefault="0021427A" w:rsidP="004125BB"/>
          <w:p w:rsidR="0021427A" w:rsidRDefault="0021427A" w:rsidP="004125BB"/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743F8C" w:rsidRPr="006343CD" w:rsidRDefault="00743F8C" w:rsidP="00C2670A">
            <w:pPr>
              <w:jc w:val="right"/>
              <w:rPr>
                <w:sz w:val="20"/>
                <w:szCs w:val="20"/>
              </w:rPr>
            </w:pPr>
            <w:r w:rsidRPr="006343CD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FCD24D3" wp14:editId="5C0AA178">
                  <wp:extent cx="343637" cy="318977"/>
                  <wp:effectExtent l="19050" t="0" r="18415" b="138430"/>
                  <wp:docPr id="2" name="Picture 2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B22D6" w:rsidRPr="007B22D6" w:rsidRDefault="007B22D6" w:rsidP="007B22D6">
            <w:pPr>
              <w:rPr>
                <w:sz w:val="20"/>
                <w:szCs w:val="20"/>
              </w:rPr>
            </w:pPr>
            <w:r w:rsidRPr="007B22D6">
              <w:rPr>
                <w:sz w:val="20"/>
                <w:szCs w:val="20"/>
              </w:rPr>
              <w:t xml:space="preserve">Draw conclusions that are consistent </w:t>
            </w:r>
          </w:p>
          <w:p w:rsidR="00310076" w:rsidRPr="006343CD" w:rsidRDefault="007B22D6" w:rsidP="007B22D6">
            <w:pPr>
              <w:rPr>
                <w:sz w:val="20"/>
                <w:szCs w:val="20"/>
              </w:rPr>
            </w:pPr>
            <w:r w:rsidRPr="007B22D6">
              <w:rPr>
                <w:sz w:val="20"/>
                <w:szCs w:val="20"/>
              </w:rPr>
              <w:t xml:space="preserve">with </w:t>
            </w:r>
            <w:r w:rsidR="00513270" w:rsidRPr="007B22D6">
              <w:rPr>
                <w:sz w:val="20"/>
                <w:szCs w:val="20"/>
              </w:rPr>
              <w:t>the findings</w:t>
            </w:r>
            <w:r>
              <w:rPr>
                <w:sz w:val="20"/>
                <w:szCs w:val="20"/>
              </w:rPr>
              <w:t xml:space="preserve"> and consider others’ views to </w:t>
            </w:r>
            <w:r w:rsidRPr="007B22D6">
              <w:rPr>
                <w:sz w:val="20"/>
                <w:szCs w:val="20"/>
              </w:rPr>
              <w:t xml:space="preserve">inform </w:t>
            </w:r>
            <w:r w:rsidR="00513270" w:rsidRPr="007B22D6">
              <w:rPr>
                <w:sz w:val="20"/>
                <w:szCs w:val="20"/>
              </w:rPr>
              <w:t>opinion and</w:t>
            </w:r>
            <w:r w:rsidRPr="007B22D6">
              <w:rPr>
                <w:sz w:val="20"/>
                <w:szCs w:val="20"/>
              </w:rPr>
              <w:t xml:space="preserve"> decisions.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F7265E" w:rsidRDefault="00F7265E" w:rsidP="004125BB">
            <w:pPr>
              <w:rPr>
                <w:noProof/>
                <w:lang w:eastAsia="en-GB"/>
              </w:rPr>
            </w:pPr>
          </w:p>
          <w:p w:rsidR="00743F8C" w:rsidRDefault="00743F8C" w:rsidP="004125BB">
            <w:pPr>
              <w:rPr>
                <w:noProof/>
                <w:lang w:eastAsia="en-GB"/>
              </w:rPr>
            </w:pPr>
          </w:p>
          <w:p w:rsidR="00310076" w:rsidRDefault="00310076" w:rsidP="004125BB"/>
        </w:tc>
      </w:tr>
      <w:tr w:rsidR="00310076" w:rsidTr="002277F4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C2670A" w:rsidRDefault="00C2670A" w:rsidP="00C2670A">
            <w:pPr>
              <w:jc w:val="right"/>
            </w:pPr>
          </w:p>
          <w:p w:rsidR="00310076" w:rsidRPr="006343CD" w:rsidRDefault="00310076" w:rsidP="004125B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FFFFCC"/>
            <w:vAlign w:val="center"/>
          </w:tcPr>
          <w:p w:rsidR="00912D1C" w:rsidRDefault="00912D1C" w:rsidP="004125BB"/>
          <w:p w:rsidR="00310076" w:rsidRDefault="00310076" w:rsidP="004125BB"/>
        </w:tc>
      </w:tr>
    </w:tbl>
    <w:p w:rsidR="00FE6436" w:rsidRPr="00310076" w:rsidRDefault="00FE6436" w:rsidP="004125BB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.5pt;height:.75pt;visibility:visible;mso-wrap-style:square" o:bullet="t">
        <v:imagedata r:id="rId1" o:title="blockpage[1]"/>
      </v:shape>
    </w:pict>
  </w:numPicBullet>
  <w:abstractNum w:abstractNumId="0">
    <w:nsid w:val="6E755352"/>
    <w:multiLevelType w:val="hybridMultilevel"/>
    <w:tmpl w:val="86E0AC88"/>
    <w:lvl w:ilvl="0" w:tplc="62C0E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09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8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26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A8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26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1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25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551E6"/>
    <w:rsid w:val="000F3700"/>
    <w:rsid w:val="00214057"/>
    <w:rsid w:val="0021427A"/>
    <w:rsid w:val="002277F4"/>
    <w:rsid w:val="00310076"/>
    <w:rsid w:val="00394501"/>
    <w:rsid w:val="004125BB"/>
    <w:rsid w:val="004C211A"/>
    <w:rsid w:val="00513270"/>
    <w:rsid w:val="005443FA"/>
    <w:rsid w:val="005A66CE"/>
    <w:rsid w:val="005C0651"/>
    <w:rsid w:val="005E0786"/>
    <w:rsid w:val="005E2FEA"/>
    <w:rsid w:val="006343CD"/>
    <w:rsid w:val="00704686"/>
    <w:rsid w:val="0071330D"/>
    <w:rsid w:val="00743F8C"/>
    <w:rsid w:val="007B22D6"/>
    <w:rsid w:val="00872782"/>
    <w:rsid w:val="00912D1C"/>
    <w:rsid w:val="00A33A91"/>
    <w:rsid w:val="00A66FD0"/>
    <w:rsid w:val="00B678F3"/>
    <w:rsid w:val="00B7655D"/>
    <w:rsid w:val="00B85903"/>
    <w:rsid w:val="00C2670A"/>
    <w:rsid w:val="00E43F44"/>
    <w:rsid w:val="00E80FC8"/>
    <w:rsid w:val="00E93EE3"/>
    <w:rsid w:val="00E95178"/>
    <w:rsid w:val="00EF3280"/>
    <w:rsid w:val="00F15DA2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7</cp:revision>
  <cp:lastPrinted>2016-02-15T13:18:00Z</cp:lastPrinted>
  <dcterms:created xsi:type="dcterms:W3CDTF">2016-02-16T11:03:00Z</dcterms:created>
  <dcterms:modified xsi:type="dcterms:W3CDTF">2016-02-17T12:31:00Z</dcterms:modified>
</cp:coreProperties>
</file>