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BC" w:rsidRDefault="00DB2FA4" w:rsidP="00B5415B">
      <w:pPr>
        <w:jc w:val="center"/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-752475</wp:posOffset>
                </wp:positionV>
                <wp:extent cx="1752600" cy="13144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5BC" w:rsidRDefault="00DB2FA4">
                            <w:r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>
                                  <wp:extent cx="1533525" cy="1285875"/>
                                  <wp:effectExtent l="0" t="0" r="9525" b="9525"/>
                                  <wp:docPr id="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59.25pt;width:13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" strokeweight=".5pt">
                <v:textbox>
                  <w:txbxContent>
                    <w:p w:rsidR="008245BC" w:rsidRDefault="00DB2FA4">
                      <w:r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>
                            <wp:extent cx="1533525" cy="1285875"/>
                            <wp:effectExtent l="0" t="0" r="9525" b="9525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45BC">
        <w:t xml:space="preserve">Welsh Baccalaureate Scheme of Learning - </w:t>
      </w:r>
      <w:smartTag w:uri="urn:schemas-microsoft-com:office:smarttags" w:element="place">
        <w:smartTag w:uri="urn:schemas-microsoft-com:office:smarttags" w:element="City">
          <w:r w:rsidR="008245BC">
            <w:t>Enterprise</w:t>
          </w:r>
        </w:smartTag>
      </w:smartTag>
      <w:r w:rsidR="008245BC">
        <w:t xml:space="preserve"> and Employability KS5</w:t>
      </w:r>
    </w:p>
    <w:p w:rsidR="008245BC" w:rsidRDefault="008245BC" w:rsidP="003D57C2"/>
    <w:p w:rsidR="008245BC" w:rsidRDefault="008245BC" w:rsidP="003D57C2">
      <w:r>
        <w:t xml:space="preserve">This Scheme of Learning has been designed to be used by teachers and tutors delivering the Welsh Baccalaureate </w:t>
      </w:r>
      <w:r w:rsidRPr="001B5F93">
        <w:rPr>
          <w:color w:val="FF0000"/>
        </w:rPr>
        <w:t>Enterprise and Employability Challenge</w:t>
      </w:r>
      <w:r>
        <w:t xml:space="preserve">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6"/>
        <w:gridCol w:w="1922"/>
        <w:gridCol w:w="6111"/>
        <w:gridCol w:w="1945"/>
        <w:gridCol w:w="1954"/>
      </w:tblGrid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spacing w:after="0" w:line="240" w:lineRule="auto"/>
              <w:jc w:val="center"/>
            </w:pPr>
            <w:r>
              <w:t>Learning Activity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jc w:val="center"/>
            </w:pPr>
            <w:r>
              <w:t>Skills Developed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spacing w:after="0" w:line="240" w:lineRule="auto"/>
              <w:jc w:val="center"/>
            </w:pPr>
            <w:r>
              <w:t>Resources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  <w:jc w:val="center"/>
            </w:pPr>
            <w:r>
              <w:t>Differentiation</w:t>
            </w: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  <w:jc w:val="center"/>
            </w:pPr>
            <w:r>
              <w:t>LO / Assessment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Budgeting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Digital Literacy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Worksheets</w:t>
            </w:r>
            <w:r w:rsidRPr="00845C40">
              <w:t>: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</w:pPr>
            <w:r>
              <w:t>Starter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</w:pPr>
            <w:r>
              <w:t>Budgeting using an Excel Spreadsheet</w:t>
            </w:r>
            <w:r w:rsidRPr="00845C40">
              <w:t xml:space="preserve"> 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</w:pPr>
            <w:r>
              <w:t>Computers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  <w:p w:rsidR="008245BC" w:rsidRPr="00645F3F" w:rsidRDefault="008245BC" w:rsidP="006D0AAC">
            <w:pPr>
              <w:spacing w:after="0" w:line="240" w:lineRule="auto"/>
            </w:pPr>
            <w:r w:rsidRPr="00645F3F">
              <w:t>LO4</w:t>
            </w:r>
          </w:p>
          <w:p w:rsidR="008245BC" w:rsidRPr="00645F3F" w:rsidRDefault="008245BC" w:rsidP="006D0AAC">
            <w:pPr>
              <w:spacing w:after="0" w:line="240" w:lineRule="auto"/>
            </w:pPr>
            <w:r w:rsidRPr="00645F3F">
              <w:t>Be able to apply</w:t>
            </w:r>
          </w:p>
          <w:p w:rsidR="008245BC" w:rsidRPr="00845C40" w:rsidRDefault="008245BC" w:rsidP="006D0AAC">
            <w:pPr>
              <w:spacing w:after="0" w:line="240" w:lineRule="auto"/>
            </w:pPr>
            <w:r w:rsidRPr="00645F3F">
              <w:rPr>
                <w:b/>
              </w:rPr>
              <w:t>Digital Literacy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rPr>
                <w:rFonts w:cs="Arial"/>
              </w:rPr>
              <w:t>Budgeting</w:t>
            </w:r>
            <w:r w:rsidRPr="00845C40">
              <w:rPr>
                <w:rFonts w:cs="Arial"/>
              </w:rPr>
              <w:t xml:space="preserve"> 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Barclays Money Skills Pack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Pages</w:t>
            </w:r>
            <w:r w:rsidRPr="00845C40">
              <w:rPr>
                <w:rFonts w:cs="Arial"/>
              </w:rPr>
              <w:t xml:space="preserve"> 16 – 23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Computers</w:t>
            </w:r>
          </w:p>
          <w:p w:rsidR="008245BC" w:rsidRPr="00845C40" w:rsidRDefault="008D1531" w:rsidP="00845C40">
            <w:pPr>
              <w:spacing w:after="0" w:line="240" w:lineRule="auto"/>
              <w:rPr>
                <w:rStyle w:val="Hyperlink"/>
              </w:rPr>
            </w:pPr>
            <w:hyperlink r:id="rId8" w:history="1">
              <w:r w:rsidR="008245BC" w:rsidRPr="00845C40">
                <w:rPr>
                  <w:rStyle w:val="Hyperlink"/>
                </w:rPr>
                <w:t>http://moneysense.natwest.com/schools/resources/planning-your-future</w:t>
              </w:r>
            </w:hyperlink>
          </w:p>
          <w:p w:rsidR="008245BC" w:rsidRPr="00845C40" w:rsidRDefault="008245BC" w:rsidP="00845C40">
            <w:pPr>
              <w:spacing w:after="0" w:line="240" w:lineRule="auto"/>
              <w:rPr>
                <w:rStyle w:val="Hyperlink"/>
              </w:rPr>
            </w:pP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t>Worksheet:</w:t>
            </w:r>
            <w:r w:rsidRPr="00845C40">
              <w:t xml:space="preserve"> Money Sense </w:t>
            </w:r>
            <w:r>
              <w:t>for Schools Nat</w:t>
            </w:r>
            <w:r w:rsidRPr="00845C40">
              <w:t>West ‘</w:t>
            </w:r>
            <w:r>
              <w:t>What finance is available to students?’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rPr>
                <w:rFonts w:cs="Arial"/>
              </w:rPr>
              <w:t>Insurance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Computers</w:t>
            </w:r>
            <w:r w:rsidRPr="00845C40">
              <w:rPr>
                <w:rFonts w:cs="Arial"/>
              </w:rPr>
              <w:t xml:space="preserve"> - </w:t>
            </w:r>
            <w:r w:rsidRPr="00845C40">
              <w:t xml:space="preserve">Rough guide to your life - </w:t>
            </w:r>
          </w:p>
          <w:p w:rsidR="008245BC" w:rsidRPr="00845C40" w:rsidRDefault="008D1531" w:rsidP="00845C40">
            <w:pPr>
              <w:spacing w:after="0" w:line="240" w:lineRule="auto"/>
              <w:rPr>
                <w:color w:val="FF0000"/>
              </w:rPr>
            </w:pPr>
            <w:hyperlink r:id="rId9" w:history="1">
              <w:r w:rsidR="008245BC" w:rsidRPr="00845C40">
                <w:rPr>
                  <w:rStyle w:val="Hyperlink"/>
                </w:rPr>
                <w:t>http://moneysense.natwest.com/schools/resources/planning-your-future/life-choices-and-savings/rough-guide-to-your-life</w:t>
              </w:r>
            </w:hyperlink>
          </w:p>
          <w:p w:rsidR="008245BC" w:rsidRPr="00845C40" w:rsidRDefault="008245BC" w:rsidP="00845C40">
            <w:pPr>
              <w:spacing w:after="0" w:line="240" w:lineRule="auto"/>
            </w:pPr>
            <w:r>
              <w:t>The website is interactive.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</w:pPr>
            <w:r>
              <w:t xml:space="preserve">Print version available in the appendix </w:t>
            </w:r>
            <w:r w:rsidRPr="00845C40">
              <w:t>– Rough guide to your life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D1531" w:rsidP="00845C40">
            <w:pPr>
              <w:spacing w:after="0" w:line="240" w:lineRule="auto"/>
              <w:rPr>
                <w:rStyle w:val="Hyperlink"/>
              </w:rPr>
            </w:pPr>
            <w:hyperlink r:id="rId10" w:history="1">
              <w:r w:rsidR="008245BC" w:rsidRPr="00845C40">
                <w:rPr>
                  <w:rStyle w:val="Hyperlink"/>
                </w:rPr>
                <w:t>http://moneysense.natwest.com/schools/resources/planning-your-future</w:t>
              </w:r>
            </w:hyperlink>
          </w:p>
          <w:p w:rsidR="008245BC" w:rsidRPr="00845C40" w:rsidRDefault="008245BC" w:rsidP="00845C40">
            <w:pPr>
              <w:spacing w:after="0" w:line="240" w:lineRule="auto"/>
              <w:rPr>
                <w:color w:val="FF0000"/>
              </w:rPr>
            </w:pPr>
          </w:p>
          <w:p w:rsidR="008245BC" w:rsidRPr="00845C40" w:rsidRDefault="008245BC" w:rsidP="00845C40">
            <w:pPr>
              <w:spacing w:after="0" w:line="240" w:lineRule="auto"/>
            </w:pPr>
            <w:r>
              <w:t xml:space="preserve">Worksheet: </w:t>
            </w:r>
            <w:r w:rsidRPr="00845C40">
              <w:t xml:space="preserve">Money Sense </w:t>
            </w:r>
            <w:r>
              <w:t>for Schools Nat</w:t>
            </w:r>
            <w:r w:rsidRPr="00845C40">
              <w:t>West ‘</w:t>
            </w:r>
            <w:r>
              <w:t>Insurance</w:t>
            </w:r>
            <w:r w:rsidRPr="00845C40">
              <w:t>’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rPr>
                <w:rFonts w:cs="Arial"/>
              </w:rPr>
              <w:lastRenderedPageBreak/>
              <w:t>Loans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Barclays Money Skills Pack</w:t>
            </w:r>
          </w:p>
          <w:p w:rsidR="008245BC" w:rsidRPr="00845C40" w:rsidRDefault="008245BC" w:rsidP="00845C40">
            <w:pPr>
              <w:spacing w:after="0" w:line="240" w:lineRule="auto"/>
            </w:pPr>
            <w:r>
              <w:rPr>
                <w:rFonts w:cs="Arial"/>
              </w:rPr>
              <w:t>Pages</w:t>
            </w:r>
            <w:r w:rsidRPr="00845C40">
              <w:rPr>
                <w:rFonts w:cs="Arial"/>
              </w:rPr>
              <w:t xml:space="preserve"> 64 - 74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Default="008245BC" w:rsidP="00845C40">
            <w:pPr>
              <w:spacing w:after="0" w:line="240" w:lineRule="auto"/>
              <w:rPr>
                <w:rFonts w:cs="Arial"/>
                <w:b/>
                <w:lang w:val="cy-GB"/>
              </w:rPr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0E0D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Making logical financial decisions in different everyday contexts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Barclays Money Skills Pack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Pages</w:t>
            </w:r>
            <w:r w:rsidRPr="00845C40">
              <w:rPr>
                <w:rFonts w:cs="Arial"/>
              </w:rPr>
              <w:t xml:space="preserve"> 16 - 23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rPr>
                <w:rFonts w:cs="Arial"/>
              </w:rPr>
              <w:t>Debt issues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AE70DE">
            <w:pPr>
              <w:spacing w:after="0" w:line="240" w:lineRule="auto"/>
            </w:pPr>
            <w:r>
              <w:t>Barclays Money Skills Pack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Pages</w:t>
            </w:r>
            <w:r w:rsidRPr="00845C40">
              <w:rPr>
                <w:rFonts w:cs="Arial"/>
              </w:rPr>
              <w:t xml:space="preserve"> 24 – 54 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Pages</w:t>
            </w:r>
            <w:r w:rsidRPr="00845C40">
              <w:rPr>
                <w:rFonts w:cs="Arial"/>
              </w:rPr>
              <w:t xml:space="preserve"> 64 - 74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financial implications of renting or buying a house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Computers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D1531" w:rsidP="00845C40">
            <w:pPr>
              <w:spacing w:after="0" w:line="240" w:lineRule="auto"/>
              <w:rPr>
                <w:rStyle w:val="Hyperlink"/>
              </w:rPr>
            </w:pPr>
            <w:hyperlink r:id="rId11" w:history="1">
              <w:r w:rsidR="008245BC" w:rsidRPr="00845C40">
                <w:rPr>
                  <w:rStyle w:val="Hyperlink"/>
                </w:rPr>
                <w:t>http://moneysense.natwest.com/schools/resources/planning-your-future</w:t>
              </w:r>
            </w:hyperlink>
          </w:p>
          <w:p w:rsidR="008245BC" w:rsidRPr="00845C40" w:rsidRDefault="008245BC" w:rsidP="00845C40">
            <w:pPr>
              <w:spacing w:after="0" w:line="240" w:lineRule="auto"/>
              <w:rPr>
                <w:rStyle w:val="Hyperlink"/>
              </w:rPr>
            </w:pPr>
          </w:p>
          <w:p w:rsidR="008245BC" w:rsidRPr="00845C40" w:rsidRDefault="008245BC" w:rsidP="00845C40">
            <w:pPr>
              <w:spacing w:after="0" w:line="240" w:lineRule="auto"/>
              <w:rPr>
                <w:color w:val="FF0000"/>
              </w:rPr>
            </w:pPr>
            <w:r>
              <w:t>Worksheet:</w:t>
            </w:r>
            <w:r w:rsidRPr="00845C40">
              <w:t xml:space="preserve"> Money Sense </w:t>
            </w:r>
            <w:r>
              <w:t>for Schools Nat</w:t>
            </w:r>
            <w:r w:rsidRPr="00845C40">
              <w:t>West ‘</w:t>
            </w:r>
            <w:r>
              <w:t>Student Expenditure’</w:t>
            </w:r>
          </w:p>
          <w:p w:rsidR="008245BC" w:rsidRPr="00845C40" w:rsidRDefault="008245BC" w:rsidP="00845C40">
            <w:pPr>
              <w:spacing w:after="0" w:line="240" w:lineRule="auto"/>
            </w:pPr>
            <w:r>
              <w:t>Worksheet:</w:t>
            </w:r>
            <w:r w:rsidRPr="00845C40">
              <w:t xml:space="preserve"> Money Sense </w:t>
            </w:r>
            <w:r>
              <w:t xml:space="preserve">for Schools </w:t>
            </w:r>
            <w:r w:rsidRPr="00845C40">
              <w:t>Nat West ‘Mor</w:t>
            </w:r>
            <w:r>
              <w:t>tgages</w:t>
            </w:r>
            <w:r w:rsidRPr="00845C40">
              <w:t>’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Financial implications of location in relation to employment or study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rPr>
                <w:rFonts w:cs="Arial"/>
              </w:rPr>
              <w:t>Pages</w:t>
            </w:r>
            <w:r w:rsidRPr="00845C40">
              <w:rPr>
                <w:rFonts w:cs="Arial"/>
              </w:rPr>
              <w:t xml:space="preserve"> 55 – 63 </w:t>
            </w:r>
            <w:r>
              <w:t>Barclays Money Skills Pack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My</w:t>
            </w:r>
            <w:r w:rsidRPr="00845C40">
              <w:rPr>
                <w:rFonts w:cs="Arial"/>
              </w:rPr>
              <w:t>B</w:t>
            </w:r>
            <w:r>
              <w:rPr>
                <w:rFonts w:cs="Arial"/>
              </w:rPr>
              <w:t>nK</w:t>
            </w:r>
            <w:proofErr w:type="spellEnd"/>
            <w:r>
              <w:rPr>
                <w:rFonts w:cs="Arial"/>
              </w:rPr>
              <w:t xml:space="preserve"> – University Budget </w:t>
            </w:r>
            <w:r w:rsidR="008D1531">
              <w:rPr>
                <w:rFonts w:cs="Arial"/>
              </w:rPr>
              <w:t xml:space="preserve"> and </w:t>
            </w:r>
            <w:proofErr w:type="spellStart"/>
            <w:r w:rsidR="008D1531">
              <w:rPr>
                <w:rFonts w:cs="Arial"/>
              </w:rPr>
              <w:t>Uni</w:t>
            </w:r>
            <w:proofErr w:type="spellEnd"/>
            <w:r w:rsidR="008D1531">
              <w:rPr>
                <w:rFonts w:cs="Arial"/>
              </w:rPr>
              <w:t xml:space="preserve"> Dosh</w:t>
            </w:r>
            <w:bookmarkStart w:id="0" w:name="_GoBack"/>
            <w:bookmarkEnd w:id="0"/>
            <w:r w:rsidR="008D1531">
              <w:rPr>
                <w:rFonts w:cs="Arial"/>
              </w:rPr>
              <w:t xml:space="preserve"> </w:t>
            </w:r>
            <w:r w:rsidRPr="00845C40">
              <w:rPr>
                <w:rFonts w:cs="Arial"/>
              </w:rPr>
              <w:t>Worksheet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Factors that could influence personal financial decisions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Computers</w:t>
            </w:r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D1531" w:rsidP="00845C40">
            <w:pPr>
              <w:spacing w:after="0" w:line="240" w:lineRule="auto"/>
            </w:pPr>
            <w:hyperlink r:id="rId12" w:history="1">
              <w:r w:rsidR="008245BC" w:rsidRPr="00845C40">
                <w:rPr>
                  <w:rStyle w:val="Hyperlink"/>
                </w:rPr>
                <w:t>http://themoneycharity.org.uk/advice-information/student-moneymanual-get-free-copy/</w:t>
              </w:r>
            </w:hyperlink>
          </w:p>
          <w:p w:rsidR="008245BC" w:rsidRPr="00845C40" w:rsidRDefault="008245BC" w:rsidP="00845C40">
            <w:pPr>
              <w:spacing w:after="0" w:line="240" w:lineRule="auto"/>
            </w:pPr>
          </w:p>
          <w:p w:rsidR="008245BC" w:rsidRPr="00845C40" w:rsidRDefault="008245BC" w:rsidP="00845C40">
            <w:pPr>
              <w:spacing w:after="0" w:line="240" w:lineRule="auto"/>
            </w:pPr>
            <w:r>
              <w:t>Copy of</w:t>
            </w:r>
            <w:r w:rsidRPr="00845C40">
              <w:t xml:space="preserve"> ‘The Student Money Manual</w:t>
            </w:r>
            <w:r>
              <w:t>’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  <w:tr w:rsidR="008245BC" w:rsidRPr="00845C40" w:rsidTr="00845C40">
        <w:tc>
          <w:tcPr>
            <w:tcW w:w="2016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Budgeting</w:t>
            </w: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Practising various number activities</w:t>
            </w:r>
          </w:p>
        </w:tc>
        <w:tc>
          <w:tcPr>
            <w:tcW w:w="1922" w:type="dxa"/>
          </w:tcPr>
          <w:p w:rsidR="008245BC" w:rsidRPr="00845C40" w:rsidRDefault="008245BC" w:rsidP="00845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Numeracy</w:t>
            </w:r>
          </w:p>
        </w:tc>
        <w:tc>
          <w:tcPr>
            <w:tcW w:w="6111" w:type="dxa"/>
          </w:tcPr>
          <w:p w:rsidR="00305F19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Worksheet</w:t>
            </w:r>
            <w:r w:rsidRPr="00845C40">
              <w:rPr>
                <w:rFonts w:cs="Arial"/>
              </w:rPr>
              <w:t>:</w:t>
            </w:r>
            <w:r w:rsidR="00305F19">
              <w:rPr>
                <w:rFonts w:cs="Arial"/>
              </w:rPr>
              <w:t xml:space="preserve"> </w:t>
            </w:r>
          </w:p>
          <w:p w:rsidR="00305F19" w:rsidRDefault="00305F19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Budgeting</w:t>
            </w:r>
          </w:p>
        </w:tc>
        <w:tc>
          <w:tcPr>
            <w:tcW w:w="1945" w:type="dxa"/>
          </w:tcPr>
          <w:p w:rsidR="008245BC" w:rsidRPr="00845C40" w:rsidRDefault="008245BC" w:rsidP="00845C40">
            <w:pPr>
              <w:spacing w:after="0" w:line="240" w:lineRule="auto"/>
            </w:pPr>
          </w:p>
        </w:tc>
        <w:tc>
          <w:tcPr>
            <w:tcW w:w="1954" w:type="dxa"/>
          </w:tcPr>
          <w:p w:rsidR="008245BC" w:rsidRPr="00845C40" w:rsidRDefault="008245BC" w:rsidP="00845C40">
            <w:pPr>
              <w:autoSpaceDE w:val="0"/>
              <w:autoSpaceDN w:val="0"/>
              <w:adjustRightInd w:val="0"/>
              <w:spacing w:after="0" w:line="240" w:lineRule="auto"/>
            </w:pPr>
            <w:r>
              <w:t>LO</w:t>
            </w:r>
            <w:r w:rsidRPr="00845C40">
              <w:t xml:space="preserve">3 </w:t>
            </w:r>
            <w:r>
              <w:rPr>
                <w:rFonts w:cs="Arial"/>
                <w:lang w:val="cy-GB"/>
              </w:rPr>
              <w:t xml:space="preserve">Be able to apply </w:t>
            </w:r>
            <w:r>
              <w:rPr>
                <w:rFonts w:cs="Arial"/>
                <w:b/>
                <w:lang w:val="cy-GB"/>
              </w:rPr>
              <w:t>Numeracy</w:t>
            </w:r>
          </w:p>
        </w:tc>
      </w:tr>
    </w:tbl>
    <w:p w:rsidR="008245BC" w:rsidRPr="003D57C2" w:rsidRDefault="008245BC" w:rsidP="003D57C2">
      <w:pPr>
        <w:rPr>
          <w:color w:val="FF0000"/>
          <w:u w:val="single"/>
        </w:rPr>
      </w:pPr>
    </w:p>
    <w:p w:rsidR="008245BC" w:rsidRDefault="008245BC"/>
    <w:sectPr w:rsidR="008245BC" w:rsidSect="003D57C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BC" w:rsidRDefault="008245BC" w:rsidP="00081220">
      <w:pPr>
        <w:spacing w:after="0" w:line="240" w:lineRule="auto"/>
      </w:pPr>
      <w:r>
        <w:separator/>
      </w:r>
    </w:p>
  </w:endnote>
  <w:endnote w:type="continuationSeparator" w:id="0">
    <w:p w:rsidR="008245BC" w:rsidRDefault="008245BC" w:rsidP="0008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BC" w:rsidRDefault="00DB2FA4" w:rsidP="00845C40">
    <w:pPr>
      <w:pStyle w:val="Footer"/>
      <w:jc w:val="right"/>
    </w:pPr>
    <w:r>
      <w:t>A</w:t>
    </w:r>
    <w:r w:rsidR="008245BC">
      <w:t xml:space="preserve"> 3.0.1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BC" w:rsidRDefault="008245BC" w:rsidP="00081220">
      <w:pPr>
        <w:spacing w:after="0" w:line="240" w:lineRule="auto"/>
      </w:pPr>
      <w:r>
        <w:separator/>
      </w:r>
    </w:p>
  </w:footnote>
  <w:footnote w:type="continuationSeparator" w:id="0">
    <w:p w:rsidR="008245BC" w:rsidRDefault="008245BC" w:rsidP="00081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1220"/>
    <w:rsid w:val="0008735F"/>
    <w:rsid w:val="0008740D"/>
    <w:rsid w:val="00087908"/>
    <w:rsid w:val="0009741B"/>
    <w:rsid w:val="000A1494"/>
    <w:rsid w:val="000A6AC9"/>
    <w:rsid w:val="000B6E3C"/>
    <w:rsid w:val="000D06C2"/>
    <w:rsid w:val="000E0D79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B5F93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7018E"/>
    <w:rsid w:val="00282295"/>
    <w:rsid w:val="002B30E6"/>
    <w:rsid w:val="002B4803"/>
    <w:rsid w:val="002C5746"/>
    <w:rsid w:val="002D4402"/>
    <w:rsid w:val="002E5736"/>
    <w:rsid w:val="002E7C06"/>
    <w:rsid w:val="00305F19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73DD"/>
    <w:rsid w:val="004A7D62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7005A"/>
    <w:rsid w:val="00597A59"/>
    <w:rsid w:val="005A0F4E"/>
    <w:rsid w:val="005B34A2"/>
    <w:rsid w:val="005C03AF"/>
    <w:rsid w:val="005D1DA7"/>
    <w:rsid w:val="005D6BA4"/>
    <w:rsid w:val="005E00BA"/>
    <w:rsid w:val="005E555F"/>
    <w:rsid w:val="005E5BB7"/>
    <w:rsid w:val="005E5DDC"/>
    <w:rsid w:val="00610D77"/>
    <w:rsid w:val="00612C6E"/>
    <w:rsid w:val="00617DE7"/>
    <w:rsid w:val="00624195"/>
    <w:rsid w:val="00630B0D"/>
    <w:rsid w:val="0063108D"/>
    <w:rsid w:val="0064323A"/>
    <w:rsid w:val="00645F3F"/>
    <w:rsid w:val="0065378D"/>
    <w:rsid w:val="006639C2"/>
    <w:rsid w:val="00665086"/>
    <w:rsid w:val="00666846"/>
    <w:rsid w:val="00672EB8"/>
    <w:rsid w:val="006B2443"/>
    <w:rsid w:val="006B4EB2"/>
    <w:rsid w:val="006B5F23"/>
    <w:rsid w:val="006C0444"/>
    <w:rsid w:val="006D0AAC"/>
    <w:rsid w:val="006D2D62"/>
    <w:rsid w:val="006D313C"/>
    <w:rsid w:val="00707F0D"/>
    <w:rsid w:val="007112E1"/>
    <w:rsid w:val="00724AA3"/>
    <w:rsid w:val="00745033"/>
    <w:rsid w:val="00796830"/>
    <w:rsid w:val="007A0A21"/>
    <w:rsid w:val="007B4944"/>
    <w:rsid w:val="007C2208"/>
    <w:rsid w:val="007C2A62"/>
    <w:rsid w:val="007E2225"/>
    <w:rsid w:val="00813E47"/>
    <w:rsid w:val="008218FC"/>
    <w:rsid w:val="008245BC"/>
    <w:rsid w:val="0082740C"/>
    <w:rsid w:val="00845028"/>
    <w:rsid w:val="00845C40"/>
    <w:rsid w:val="00876BC8"/>
    <w:rsid w:val="00882526"/>
    <w:rsid w:val="008946B0"/>
    <w:rsid w:val="00894CB7"/>
    <w:rsid w:val="008A63A4"/>
    <w:rsid w:val="008C3BC4"/>
    <w:rsid w:val="008D1531"/>
    <w:rsid w:val="008D7C9F"/>
    <w:rsid w:val="008E249D"/>
    <w:rsid w:val="008F09BB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9297A"/>
    <w:rsid w:val="00AA0597"/>
    <w:rsid w:val="00AC4325"/>
    <w:rsid w:val="00AD29D9"/>
    <w:rsid w:val="00AD5019"/>
    <w:rsid w:val="00AD5859"/>
    <w:rsid w:val="00AD5C0D"/>
    <w:rsid w:val="00AD60F2"/>
    <w:rsid w:val="00AE41C7"/>
    <w:rsid w:val="00AE5B65"/>
    <w:rsid w:val="00AE70DE"/>
    <w:rsid w:val="00AF2D4D"/>
    <w:rsid w:val="00AF4226"/>
    <w:rsid w:val="00B03B64"/>
    <w:rsid w:val="00B223DC"/>
    <w:rsid w:val="00B2290E"/>
    <w:rsid w:val="00B26751"/>
    <w:rsid w:val="00B42BAB"/>
    <w:rsid w:val="00B45E59"/>
    <w:rsid w:val="00B5415B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E6680"/>
    <w:rsid w:val="00BF0A16"/>
    <w:rsid w:val="00BF1EA2"/>
    <w:rsid w:val="00BF63F6"/>
    <w:rsid w:val="00BF6B15"/>
    <w:rsid w:val="00C02791"/>
    <w:rsid w:val="00C05A09"/>
    <w:rsid w:val="00C14AA0"/>
    <w:rsid w:val="00C3206C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455ED"/>
    <w:rsid w:val="00D6649D"/>
    <w:rsid w:val="00D9202C"/>
    <w:rsid w:val="00DA3DBF"/>
    <w:rsid w:val="00DA7B79"/>
    <w:rsid w:val="00DB2FA4"/>
    <w:rsid w:val="00DB31AC"/>
    <w:rsid w:val="00DD0351"/>
    <w:rsid w:val="00DD088D"/>
    <w:rsid w:val="00DD76E9"/>
    <w:rsid w:val="00E33795"/>
    <w:rsid w:val="00E4561D"/>
    <w:rsid w:val="00E47769"/>
    <w:rsid w:val="00E60644"/>
    <w:rsid w:val="00E75B11"/>
    <w:rsid w:val="00E773ED"/>
    <w:rsid w:val="00E80581"/>
    <w:rsid w:val="00E81142"/>
    <w:rsid w:val="00EA1A16"/>
    <w:rsid w:val="00EB25ED"/>
    <w:rsid w:val="00EC0A88"/>
    <w:rsid w:val="00EC12BE"/>
    <w:rsid w:val="00ED648F"/>
    <w:rsid w:val="00ED7CB6"/>
    <w:rsid w:val="00EE78D0"/>
    <w:rsid w:val="00EF0EA9"/>
    <w:rsid w:val="00F00132"/>
    <w:rsid w:val="00F006B9"/>
    <w:rsid w:val="00F1032C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D8C288C-D947-4827-B4BD-CBFC93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pPr>
      <w:spacing w:after="200" w:line="276" w:lineRule="auto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D57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320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8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1220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08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1220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eysense.natwest.com/schools/resources/planning-your-futur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yperlink" Target="http://themoneycharity.org.uk/advice-information/student-moneymanual-get-free-cop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moneysense.natwest.com/schools/resources/planning-your-futur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oneysense.natwest.com/schools/resources/planning-your-futu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neysense.natwest.com/schools/resources/planning-your-future/life-choices-and-savings/rough-guide-to-your-li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WJEC</dc:creator>
  <cp:keywords/>
  <dc:description/>
  <cp:lastModifiedBy>TimData</cp:lastModifiedBy>
  <cp:revision>4</cp:revision>
  <dcterms:created xsi:type="dcterms:W3CDTF">2015-05-10T12:01:00Z</dcterms:created>
  <dcterms:modified xsi:type="dcterms:W3CDTF">2015-05-10T12:06:00Z</dcterms:modified>
</cp:coreProperties>
</file>