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704456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704456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704456" w:rsidRPr="00704456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704456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236AC9" w:rsidRPr="00704456">
        <w:rPr>
          <w:b/>
          <w:color w:val="632423" w:themeColor="accent2" w:themeShade="80"/>
          <w:sz w:val="28"/>
          <w:szCs w:val="28"/>
          <w:lang w:val="cy-GB"/>
        </w:rPr>
        <w:t>8</w:t>
      </w:r>
      <w:r w:rsidRPr="00704456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704456" w:rsidRPr="00704456">
        <w:rPr>
          <w:b/>
          <w:color w:val="632423" w:themeColor="accent2" w:themeShade="80"/>
          <w:sz w:val="28"/>
          <w:szCs w:val="28"/>
          <w:lang w:val="cy-GB"/>
        </w:rPr>
        <w:t>Trionglau</w:t>
      </w:r>
    </w:p>
    <w:p w:rsidR="00704456" w:rsidRPr="00704456" w:rsidRDefault="00704456" w:rsidP="00704456">
      <w:pPr>
        <w:rPr>
          <w:b/>
          <w:color w:val="632423" w:themeColor="accent2" w:themeShade="80"/>
          <w:sz w:val="24"/>
          <w:szCs w:val="24"/>
          <w:lang w:val="cy-GB"/>
        </w:rPr>
      </w:pPr>
      <w:r w:rsidRPr="00704456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704456" w:rsidRPr="00704456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04456" w:rsidRPr="00704456" w:rsidRDefault="00704456" w:rsidP="0070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704456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04456" w:rsidRPr="00704456" w:rsidRDefault="00704456" w:rsidP="0070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704456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04456" w:rsidRPr="00704456" w:rsidRDefault="00704456" w:rsidP="0070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704456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04456" w:rsidRPr="00704456" w:rsidRDefault="00704456" w:rsidP="0070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704456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704456" w:rsidRPr="00704456" w:rsidRDefault="00704456" w:rsidP="0070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704456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704456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704456" w:rsidRDefault="00236AC9" w:rsidP="0070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704456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8. </w:t>
            </w:r>
            <w:r w:rsidR="00704456" w:rsidRPr="00704456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Trionglau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Pr="00704456" w:rsidRDefault="0070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 w:rsidRPr="00704456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Canolig</w:t>
            </w:r>
            <w:r w:rsidR="001B170E" w:rsidRPr="00704456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 w:rsidRPr="00704456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236AC9" w:rsidRPr="00704456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8</w:t>
            </w:r>
            <w:r w:rsidR="001B170E" w:rsidRPr="00704456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.1)</w:t>
            </w:r>
          </w:p>
          <w:p w:rsidR="004F0F03" w:rsidRPr="00704456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704456" w:rsidRDefault="00704456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704456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Siâp.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704456" w:rsidRDefault="00704456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704456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Gwybodaeth ar ffurf testun parhaus, byr, gyda llun i’w ddehongli.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704456" w:rsidRDefault="00704456" w:rsidP="0070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704456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Aml ddewis, dehongliad diagramatig a chyfieithu disgrifiad ysgrifenedig yn ddiagram.</w:t>
            </w:r>
          </w:p>
        </w:tc>
      </w:tr>
    </w:tbl>
    <w:p w:rsidR="002D5687" w:rsidRPr="00704456" w:rsidRDefault="002D5687">
      <w:pPr>
        <w:rPr>
          <w:lang w:val="cy-GB"/>
        </w:rPr>
      </w:pPr>
    </w:p>
    <w:p w:rsidR="00704456" w:rsidRDefault="00704456" w:rsidP="00704456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p w:rsidR="00704456" w:rsidRPr="00704456" w:rsidRDefault="00704456">
      <w:pPr>
        <w:rPr>
          <w:b/>
          <w:color w:val="632423" w:themeColor="accent2" w:themeShade="80"/>
          <w:sz w:val="24"/>
          <w:szCs w:val="24"/>
          <w:lang w:val="cy-GB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62499F" w:rsidRPr="00704456" w:rsidTr="002D5687">
        <w:tc>
          <w:tcPr>
            <w:tcW w:w="4621" w:type="dxa"/>
            <w:shd w:val="clear" w:color="auto" w:fill="9933FF"/>
          </w:tcPr>
          <w:p w:rsidR="0062499F" w:rsidRDefault="00AD3AE0" w:rsidP="0062499F">
            <w:pPr>
              <w:rPr>
                <w:b/>
                <w:sz w:val="24"/>
                <w:szCs w:val="24"/>
                <w:lang w:val="cy-GB"/>
              </w:rPr>
            </w:pPr>
            <w:r>
              <w:pict w14:anchorId="299C1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3298" r:id="rId7"/>
              </w:pict>
            </w:r>
            <w:r w:rsidR="0062499F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62499F" w:rsidRDefault="00AD3AE0" w:rsidP="0062499F">
            <w:pPr>
              <w:rPr>
                <w:b/>
                <w:sz w:val="24"/>
                <w:szCs w:val="24"/>
                <w:lang w:val="cy-GB"/>
              </w:rPr>
            </w:pPr>
            <w:r>
              <w:pict w14:anchorId="645E3371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3299" r:id="rId9"/>
              </w:pict>
            </w:r>
            <w:r w:rsidR="0062499F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704456" w:rsidTr="002D5687">
        <w:tc>
          <w:tcPr>
            <w:tcW w:w="4621" w:type="dxa"/>
            <w:vMerge w:val="restart"/>
            <w:shd w:val="clear" w:color="auto" w:fill="D9B3FF"/>
          </w:tcPr>
          <w:p w:rsidR="0062499F" w:rsidRDefault="0062499F" w:rsidP="0062499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broses/dull a strategaeth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meini prawf llwyddiant</w:t>
            </w:r>
          </w:p>
          <w:p w:rsidR="0062499F" w:rsidRDefault="0062499F" w:rsidP="0062499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</w:t>
            </w:r>
            <w:r w:rsidR="003858EF">
              <w:rPr>
                <w:lang w:val="cy-GB"/>
              </w:rPr>
              <w:t>a</w:t>
            </w:r>
            <w:r>
              <w:rPr>
                <w:lang w:val="cy-GB"/>
              </w:rPr>
              <w:t>u</w:t>
            </w:r>
          </w:p>
          <w:p w:rsidR="0062499F" w:rsidRP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62499F" w:rsidRP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Ffurfio barn a phenderfynu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Cadw golwg ar gynnydd</w:t>
            </w:r>
          </w:p>
          <w:p w:rsidR="0062499F" w:rsidRDefault="0062499F" w:rsidP="0062499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Adolygu deilliannau a meini prawf llwyddiant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62499F" w:rsidRPr="0062499F" w:rsidRDefault="0062499F" w:rsidP="00EF5A40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62499F">
              <w:rPr>
                <w:lang w:val="cy-GB"/>
              </w:rPr>
              <w:t>Cysylltu a meddwl ochrol</w:t>
            </w:r>
          </w:p>
          <w:p w:rsidR="002D5687" w:rsidRPr="00704456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704456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62499F" w:rsidRDefault="0062499F" w:rsidP="0062499F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6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6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62499F" w:rsidRDefault="0062499F" w:rsidP="0062499F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62499F" w:rsidRDefault="0062499F" w:rsidP="0062499F">
            <w:pPr>
              <w:pStyle w:val="ListParagraph"/>
              <w:numPr>
                <w:ilvl w:val="0"/>
                <w:numId w:val="6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62499F" w:rsidRDefault="0062499F" w:rsidP="0062499F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62499F" w:rsidRPr="0062499F" w:rsidRDefault="0062499F" w:rsidP="002D5687">
            <w:pPr>
              <w:pStyle w:val="ListParagraph"/>
              <w:numPr>
                <w:ilvl w:val="0"/>
                <w:numId w:val="2"/>
              </w:numPr>
              <w:rPr>
                <w:lang w:val="cy-GB"/>
              </w:rPr>
            </w:pPr>
            <w:r w:rsidRPr="0062499F">
              <w:rPr>
                <w:lang w:val="cy-GB"/>
              </w:rPr>
              <w:t>Cyfleu gwybodaeth</w:t>
            </w:r>
          </w:p>
          <w:p w:rsidR="002D5687" w:rsidRPr="00704456" w:rsidRDefault="002D5687" w:rsidP="00D85419">
            <w:pPr>
              <w:rPr>
                <w:lang w:val="cy-GB"/>
              </w:rPr>
            </w:pPr>
          </w:p>
        </w:tc>
      </w:tr>
      <w:tr w:rsidR="002D5687" w:rsidRPr="00704456" w:rsidTr="002D5687">
        <w:tc>
          <w:tcPr>
            <w:tcW w:w="4621" w:type="dxa"/>
            <w:vMerge/>
            <w:shd w:val="clear" w:color="auto" w:fill="D9B3FF"/>
          </w:tcPr>
          <w:p w:rsidR="002D5687" w:rsidRPr="00704456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704456" w:rsidRDefault="00AD3AE0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3300" r:id="rId11"/>
              </w:pict>
            </w:r>
            <w:r w:rsidR="0062499F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704456" w:rsidTr="002D5687">
        <w:tc>
          <w:tcPr>
            <w:tcW w:w="4621" w:type="dxa"/>
            <w:vMerge/>
            <w:shd w:val="clear" w:color="auto" w:fill="D9B3FF"/>
          </w:tcPr>
          <w:p w:rsidR="002D5687" w:rsidRPr="00704456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166E34" w:rsidRDefault="00166E34" w:rsidP="0062499F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</w:p>
          <w:p w:rsidR="0062499F" w:rsidRDefault="0062499F" w:rsidP="0062499F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62499F" w:rsidRDefault="0062499F" w:rsidP="0062499F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62499F" w:rsidRDefault="0062499F" w:rsidP="0062499F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amrywiaeth o ddulliau</w:t>
            </w:r>
          </w:p>
          <w:p w:rsidR="0062499F" w:rsidRDefault="0062499F" w:rsidP="0062499F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62499F" w:rsidRPr="0062499F" w:rsidRDefault="0062499F" w:rsidP="00D267DD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62499F">
              <w:rPr>
                <w:lang w:val="cy-GB"/>
              </w:rPr>
              <w:t>Cofnodi a dehongli data a chyflwyno canfyddiadau</w:t>
            </w:r>
          </w:p>
          <w:p w:rsidR="002D5687" w:rsidRPr="00704456" w:rsidRDefault="002D5687" w:rsidP="00D85419">
            <w:pPr>
              <w:rPr>
                <w:lang w:val="cy-GB"/>
              </w:rPr>
            </w:pPr>
          </w:p>
        </w:tc>
      </w:tr>
    </w:tbl>
    <w:p w:rsidR="00AD3AE0" w:rsidRDefault="00AD3AE0">
      <w:pPr>
        <w:rPr>
          <w:rFonts w:ascii="Frutiger-Bold" w:hAnsi="Frutiger-Bold" w:cs="Frutiger-Bold"/>
          <w:b/>
          <w:color w:val="632423" w:themeColor="accent2" w:themeShade="80"/>
          <w:sz w:val="24"/>
          <w:szCs w:val="20"/>
          <w:lang w:val="cy-GB"/>
        </w:rPr>
      </w:pPr>
    </w:p>
    <w:p w:rsidR="002D5687" w:rsidRPr="00AD3AE0" w:rsidRDefault="00AD3AE0">
      <w:pPr>
        <w:rPr>
          <w:b/>
          <w:color w:val="632423" w:themeColor="accent2" w:themeShade="80"/>
          <w:sz w:val="28"/>
          <w:lang w:val="cy-GB"/>
        </w:rPr>
      </w:pPr>
      <w:bookmarkStart w:id="0" w:name="_GoBack"/>
      <w:bookmarkEnd w:id="0"/>
      <w:r w:rsidRPr="00AD3AE0">
        <w:rPr>
          <w:rFonts w:ascii="Frutiger-Bold" w:hAnsi="Frutiger-Bold" w:cs="Frutiger-Bold"/>
          <w:b/>
          <w:color w:val="632423" w:themeColor="accent2" w:themeShade="80"/>
          <w:sz w:val="24"/>
          <w:szCs w:val="20"/>
          <w:lang w:val="cy-GB"/>
        </w:rPr>
        <w:t>SGORIO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D3AE0" w:rsidTr="00AD3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AD3AE0" w:rsidRPr="00252440" w:rsidRDefault="00AD3AE0" w:rsidP="00AD3AE0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sz w:val="20"/>
                <w:szCs w:val="20"/>
                <w:lang w:val="cy-GB"/>
              </w:rPr>
              <w:t>TRIONGLAU 8.1</w:t>
            </w:r>
          </w:p>
          <w:p w:rsidR="00AD3AE0" w:rsidRPr="00252440" w:rsidRDefault="00AD3AE0" w:rsidP="00AD3AE0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</w:p>
          <w:p w:rsidR="00AD3AE0" w:rsidRPr="00252440" w:rsidRDefault="00AD3AE0" w:rsidP="00AD3AE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sz w:val="20"/>
                <w:szCs w:val="20"/>
                <w:lang w:val="cy-GB"/>
              </w:rPr>
              <w:lastRenderedPageBreak/>
              <w:t xml:space="preserve">Marc llawn: </w:t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>Ateb D.</w:t>
            </w:r>
          </w:p>
          <w:p w:rsidR="00AD3AE0" w:rsidRPr="00252440" w:rsidRDefault="00AD3AE0" w:rsidP="00AD3AE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AD3AE0" w:rsidRPr="00252440" w:rsidRDefault="00AD3AE0" w:rsidP="00AD3AE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Optima-Bold" w:hAnsi="Optima-Bold" w:cs="Optima-Bold"/>
                <w:sz w:val="20"/>
                <w:szCs w:val="20"/>
                <w:lang w:val="cy-GB"/>
              </w:rPr>
              <w:t xml:space="preserve">Dim marc: </w:t>
            </w:r>
            <w:r w:rsidRPr="00252440">
              <w:rPr>
                <w:rFonts w:ascii="Optima-Regular" w:hAnsi="Optima-Regular" w:cs="Optima-Regular"/>
                <w:sz w:val="20"/>
                <w:szCs w:val="20"/>
                <w:lang w:val="cy-GB"/>
              </w:rPr>
              <w:t xml:space="preserve">Atebion eraill </w:t>
            </w:r>
            <w:r w:rsidRPr="001E5399">
              <w:rPr>
                <w:rFonts w:ascii="Optima-Regular" w:hAnsi="Optima-Regular" w:cs="Optima-Regular"/>
                <w:sz w:val="20"/>
                <w:szCs w:val="20"/>
                <w:lang w:val="cy-GB"/>
              </w:rPr>
              <w:t>neu ddim ateb o gwbl.</w:t>
            </w:r>
          </w:p>
          <w:p w:rsidR="00AD3AE0" w:rsidRPr="00252440" w:rsidRDefault="00AD3AE0" w:rsidP="00AD3AE0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  <w:r w:rsidRPr="00252440">
              <w:rPr>
                <w:rFonts w:ascii="Frutiger-Roman" w:hAnsi="Frutiger-Roman" w:cs="Frutiger-Roman"/>
                <w:sz w:val="17"/>
                <w:szCs w:val="17"/>
                <w:lang w:val="cy-GB"/>
              </w:rPr>
              <w:t>Mae ateb y cwestiwn hwn yn gywir yn cyfateb i anhawster o 537 pwynt sgôr ar raddfa fathemateg PISA. Ar draws gwledydd OECD, atebodd 58% o fyfyrwyr yn gywir. I ateb y cwestiwn yn gywir, rhaid i fyfyrwyr dynnu ar eu sgiliau o’r clwstwr medr cysylltiadau.</w:t>
            </w:r>
          </w:p>
          <w:p w:rsidR="00AD3AE0" w:rsidRDefault="00AD3AE0">
            <w:pPr>
              <w:rPr>
                <w:lang w:val="cy-GB"/>
              </w:rPr>
            </w:pPr>
          </w:p>
        </w:tc>
      </w:tr>
    </w:tbl>
    <w:p w:rsidR="00AD3AE0" w:rsidRPr="00704456" w:rsidRDefault="00AD3AE0">
      <w:pPr>
        <w:rPr>
          <w:lang w:val="cy-GB"/>
        </w:rPr>
      </w:pPr>
    </w:p>
    <w:sectPr w:rsidR="00AD3AE0" w:rsidRPr="0070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66E34"/>
    <w:rsid w:val="00173748"/>
    <w:rsid w:val="001B170E"/>
    <w:rsid w:val="00236AC9"/>
    <w:rsid w:val="002A0BD9"/>
    <w:rsid w:val="002A4A8C"/>
    <w:rsid w:val="002D5687"/>
    <w:rsid w:val="00302263"/>
    <w:rsid w:val="003858EF"/>
    <w:rsid w:val="00496FF1"/>
    <w:rsid w:val="004A2613"/>
    <w:rsid w:val="004F0F03"/>
    <w:rsid w:val="0062499F"/>
    <w:rsid w:val="00704456"/>
    <w:rsid w:val="00837E34"/>
    <w:rsid w:val="008B4516"/>
    <w:rsid w:val="008C1505"/>
    <w:rsid w:val="00942DD2"/>
    <w:rsid w:val="00AD3AE0"/>
    <w:rsid w:val="00B10E2C"/>
    <w:rsid w:val="00B34252"/>
    <w:rsid w:val="00BB06EA"/>
    <w:rsid w:val="00C17324"/>
    <w:rsid w:val="00C80BAB"/>
    <w:rsid w:val="00D85419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AD3A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AD3A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1171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5</cp:revision>
  <dcterms:created xsi:type="dcterms:W3CDTF">2015-03-26T14:47:00Z</dcterms:created>
  <dcterms:modified xsi:type="dcterms:W3CDTF">2015-05-19T14:08:00Z</dcterms:modified>
</cp:coreProperties>
</file>