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4C7C18">
        <w:rPr>
          <w:b/>
          <w:color w:val="632423" w:themeColor="accent2" w:themeShade="80"/>
          <w:sz w:val="28"/>
          <w:szCs w:val="28"/>
        </w:rPr>
        <w:t>3</w:t>
      </w:r>
      <w:r w:rsidR="003E7FD7">
        <w:rPr>
          <w:b/>
          <w:color w:val="632423" w:themeColor="accent2" w:themeShade="80"/>
          <w:sz w:val="28"/>
          <w:szCs w:val="28"/>
        </w:rPr>
        <w:t>2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3E7FD7">
        <w:rPr>
          <w:b/>
          <w:color w:val="632423" w:themeColor="accent2" w:themeShade="80"/>
          <w:sz w:val="28"/>
          <w:szCs w:val="28"/>
        </w:rPr>
        <w:t>Patio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4C7C18" w:rsidP="003E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3</w:t>
            </w:r>
            <w:r w:rsidR="003E7FD7">
              <w:rPr>
                <w:rFonts w:ascii="FrutigerLTStd-LightCn" w:hAnsi="FrutigerLTStd-LightCn" w:cs="FrutigerLTStd-LightCn"/>
                <w:sz w:val="20"/>
                <w:szCs w:val="20"/>
              </w:rPr>
              <w:t>2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. </w:t>
            </w:r>
            <w:r w:rsidR="003E7FD7">
              <w:rPr>
                <w:rFonts w:ascii="FrutigerLTStd-LightCn" w:hAnsi="FrutigerLTStd-LightCn" w:cs="FrutigerLTStd-LightCn"/>
                <w:sz w:val="20"/>
                <w:szCs w:val="20"/>
              </w:rPr>
              <w:t>Patio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5941E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Trial:</w:t>
            </w:r>
          </w:p>
          <w:p w:rsidR="00A16E49" w:rsidRDefault="003E7FD7" w:rsidP="00E2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Low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(Q3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2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3E7FD7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Shape, understand and use measures, area, understand number and notation, calculate in a variety of ways.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3E7FD7" w:rsidP="003E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continuous text 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containing mathematical data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3E7FD7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answer calculation.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250302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8451735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250302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8451736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577522" w:rsidRPr="00FA6C5A" w:rsidRDefault="0057752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success criteria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Valuing errors and unexpected outcomes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250302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8451737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r>
              <w:t>Recordi</w:t>
            </w:r>
            <w:bookmarkEnd w:id="0"/>
            <w:r>
              <w:t>ng and interpreting data and presenting findings</w:t>
            </w:r>
          </w:p>
          <w:p w:rsidR="002D5687" w:rsidRDefault="002D5687" w:rsidP="00D85419"/>
        </w:tc>
      </w:tr>
    </w:tbl>
    <w:p w:rsidR="002D5687" w:rsidRDefault="002D5687"/>
    <w:p w:rsidR="000E1C1D" w:rsidRDefault="000E1C1D">
      <w:pPr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E1C1D" w:rsidTr="000E1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0E1C1D" w:rsidRPr="000E1C1D" w:rsidRDefault="000E1C1D" w:rsidP="000E1C1D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0E1C1D">
              <w:rPr>
                <w:rFonts w:ascii="Frutiger-Bold" w:hAnsi="Frutiger-Bold" w:cs="Frutiger-Bold"/>
                <w:bCs w:val="0"/>
                <w:sz w:val="20"/>
                <w:szCs w:val="20"/>
              </w:rPr>
              <w:t>PATIO scoring 32.1</w:t>
            </w: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E1C1D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0E1C1D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t>1275, 1276 or 1275.75 (unit not required).</w:t>
            </w:r>
          </w:p>
          <w:p w:rsidR="000E1C1D" w:rsidRDefault="000E1C1D" w:rsidP="000E1C1D">
            <w:pPr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E1C1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t>5.25 X 3 = 15.75 X 81 = 1276</w:t>
            </w:r>
          </w:p>
          <w:p w:rsidR="000E1C1D" w:rsidRPr="000E1C1D" w:rsidRDefault="000E1C1D" w:rsidP="000E1C1D">
            <w:pPr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Cs w:val="0"/>
                <w:sz w:val="20"/>
                <w:szCs w:val="20"/>
              </w:rPr>
            </w:pPr>
            <w:r w:rsidRPr="000E1C1D">
              <w:rPr>
                <w:rFonts w:ascii="Optima-Bold" w:hAnsi="Optima-Bold" w:cs="Optima-Bold"/>
                <w:bCs w:val="0"/>
                <w:sz w:val="20"/>
                <w:szCs w:val="20"/>
              </w:rPr>
              <w:t>Partial credit:</w:t>
            </w: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t>15.75 (units not required)</w:t>
            </w: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t>OR</w:t>
            </w: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lastRenderedPageBreak/>
              <w:t>1215 bricks for 5m X 3m</w:t>
            </w: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(This score is used for students who are able to calculate the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number of bricks for an integer </w:t>
            </w: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t>number of square metres, but not for fractions of square metres. See example response.)</w:t>
            </w: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t>OR</w:t>
            </w: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t>Error in calculating the area, but multiplied by 81 correctly</w:t>
            </w: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t>OR</w:t>
            </w: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t>Rounded off the area and then multiplied by 81 correctly</w:t>
            </w: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E1C1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t>5.25 X 3 = 15.75</w:t>
            </w: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E1C1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t>15.75 X 81 = 9000</w:t>
            </w: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E1C1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t>81 X 15 = 1215; 1215 + 21 = 1236</w:t>
            </w: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E1C1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t>5.25 X 3.0 = 15.75 m2; so 15.75 X 1275.75 = 1376 bricks.</w:t>
            </w:r>
          </w:p>
          <w:p w:rsidR="000E1C1D" w:rsidRDefault="000E1C1D" w:rsidP="000E1C1D">
            <w:pPr>
              <w:autoSpaceDE w:val="0"/>
              <w:autoSpaceDN w:val="0"/>
              <w:adjustRightInd w:val="0"/>
              <w:ind w:left="720"/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</w:pPr>
            <w:r w:rsidRPr="000E1C1D"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  <w:t>(Here the student got the first part right, but the</w:t>
            </w:r>
            <w:r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  <w:t xml:space="preserve"> second part wrong. Give credit </w:t>
            </w:r>
            <w:r w:rsidRPr="000E1C1D"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  <w:t>for the first part and ignore the second part. So score as 1)</w:t>
            </w: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</w:pPr>
          </w:p>
          <w:p w:rsidR="000E1C1D" w:rsidRDefault="000E1C1D" w:rsidP="000E1C1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E1C1D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0E1C1D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0E1C1D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0E1C1D" w:rsidRPr="000E1C1D" w:rsidRDefault="000E1C1D" w:rsidP="000E1C1D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0E1C1D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0E1C1D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</w:tbl>
    <w:p w:rsidR="000E1C1D" w:rsidRPr="000E1C1D" w:rsidRDefault="000E1C1D">
      <w:pPr>
        <w:rPr>
          <w:b/>
          <w:color w:val="632423" w:themeColor="accent2" w:themeShade="80"/>
          <w:sz w:val="24"/>
          <w:szCs w:val="24"/>
        </w:rPr>
      </w:pPr>
    </w:p>
    <w:sectPr w:rsidR="000E1C1D" w:rsidRPr="000E1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Era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im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0E1C1D"/>
    <w:rsid w:val="00116438"/>
    <w:rsid w:val="001755D7"/>
    <w:rsid w:val="001B170E"/>
    <w:rsid w:val="00236AC9"/>
    <w:rsid w:val="00250302"/>
    <w:rsid w:val="002829CE"/>
    <w:rsid w:val="002A0BD9"/>
    <w:rsid w:val="002A4A8C"/>
    <w:rsid w:val="002D5687"/>
    <w:rsid w:val="00302263"/>
    <w:rsid w:val="00357490"/>
    <w:rsid w:val="00397944"/>
    <w:rsid w:val="003E7FD7"/>
    <w:rsid w:val="00496FF1"/>
    <w:rsid w:val="004A2613"/>
    <w:rsid w:val="004C6477"/>
    <w:rsid w:val="004C7C18"/>
    <w:rsid w:val="004F0F03"/>
    <w:rsid w:val="00501E6B"/>
    <w:rsid w:val="00551321"/>
    <w:rsid w:val="00577522"/>
    <w:rsid w:val="005941EA"/>
    <w:rsid w:val="00603C2F"/>
    <w:rsid w:val="00675BAC"/>
    <w:rsid w:val="006A5D59"/>
    <w:rsid w:val="006F6E64"/>
    <w:rsid w:val="007579B8"/>
    <w:rsid w:val="007F4053"/>
    <w:rsid w:val="008206BB"/>
    <w:rsid w:val="00837E34"/>
    <w:rsid w:val="008A5D56"/>
    <w:rsid w:val="008B20C4"/>
    <w:rsid w:val="008B4516"/>
    <w:rsid w:val="008C1505"/>
    <w:rsid w:val="008D45A9"/>
    <w:rsid w:val="008F1941"/>
    <w:rsid w:val="00942DD2"/>
    <w:rsid w:val="00976898"/>
    <w:rsid w:val="00A16E49"/>
    <w:rsid w:val="00B10E2C"/>
    <w:rsid w:val="00B34252"/>
    <w:rsid w:val="00BE49A5"/>
    <w:rsid w:val="00C6353D"/>
    <w:rsid w:val="00CC4E8A"/>
    <w:rsid w:val="00CF60C8"/>
    <w:rsid w:val="00D85419"/>
    <w:rsid w:val="00DB1C2B"/>
    <w:rsid w:val="00E25AF0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0E1C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0E1C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33BAE06E</Template>
  <TotalTime>13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2015-01-11T10:25:00Z</dcterms:created>
  <dcterms:modified xsi:type="dcterms:W3CDTF">2015-03-21T14:03:00Z</dcterms:modified>
</cp:coreProperties>
</file>