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C7C18">
        <w:rPr>
          <w:b/>
          <w:color w:val="632423" w:themeColor="accent2" w:themeShade="80"/>
          <w:sz w:val="28"/>
          <w:szCs w:val="28"/>
        </w:rPr>
        <w:t>3</w:t>
      </w:r>
      <w:r w:rsidR="00364A36">
        <w:rPr>
          <w:b/>
          <w:color w:val="632423" w:themeColor="accent2" w:themeShade="80"/>
          <w:sz w:val="28"/>
          <w:szCs w:val="28"/>
        </w:rPr>
        <w:t>7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364A36">
        <w:rPr>
          <w:b/>
          <w:color w:val="632423" w:themeColor="accent2" w:themeShade="80"/>
          <w:sz w:val="28"/>
          <w:szCs w:val="28"/>
        </w:rPr>
        <w:t>Spring Fair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364A36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37. Spring Fair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115EA8" w:rsidRDefault="00115EA8" w:rsidP="00364A3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(Q3</w:t>
            </w:r>
            <w:r w:rsidR="00364A36">
              <w:rPr>
                <w:rFonts w:ascii="FrutigerLTStd-LightCn" w:hAnsi="FrutigerLTStd-LightCn" w:cs="FrutigerLTStd-LightCn"/>
                <w:sz w:val="20"/>
                <w:szCs w:val="20"/>
              </w:rPr>
              <w:t>7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364A36" w:rsidP="00E5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Probability.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364A36" w:rsidP="00E5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 and pictures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E52E83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E5203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9925733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E52030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9925734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Default="002D5687" w:rsidP="00E52030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E5203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9925735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Default="002D5687" w:rsidP="00E52030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p w:rsidR="00D26F8E" w:rsidRDefault="00D26F8E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6F8E" w:rsidTr="00D26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26F8E" w:rsidRDefault="00D26F8E" w:rsidP="00D26F8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D26F8E">
              <w:rPr>
                <w:rFonts w:ascii="Frutiger-Bold" w:hAnsi="Frutiger-Bold" w:cs="Frutiger-Bold"/>
                <w:bCs w:val="0"/>
                <w:sz w:val="20"/>
                <w:szCs w:val="20"/>
              </w:rPr>
              <w:t>Spring fair SCORING 37.1</w:t>
            </w:r>
          </w:p>
          <w:p w:rsidR="00D26F8E" w:rsidRPr="00D26F8E" w:rsidRDefault="00D26F8E" w:rsidP="00D26F8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D26F8E" w:rsidRDefault="00D26F8E" w:rsidP="00D26F8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D26F8E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D26F8E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D26F8E">
              <w:rPr>
                <w:rFonts w:ascii="Optima-Regular" w:hAnsi="Optima-Regular" w:cs="Optima-Regular"/>
                <w:b w:val="0"/>
                <w:sz w:val="20"/>
                <w:szCs w:val="20"/>
              </w:rPr>
              <w:t>B. Not very likely.</w:t>
            </w:r>
          </w:p>
          <w:p w:rsidR="00D26F8E" w:rsidRPr="00D26F8E" w:rsidRDefault="00D26F8E" w:rsidP="00D26F8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D26F8E" w:rsidRDefault="00D26F8E" w:rsidP="00D26F8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D26F8E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D26F8E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D26F8E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D26F8E" w:rsidRPr="00D26F8E" w:rsidRDefault="00D26F8E" w:rsidP="00D26F8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D26F8E" w:rsidRDefault="00D26F8E" w:rsidP="00D26F8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D26F8E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D26F8E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D26F8E" w:rsidRPr="00D26F8E" w:rsidRDefault="00D26F8E" w:rsidP="00D26F8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</w:tbl>
    <w:p w:rsidR="00D26F8E" w:rsidRPr="00D26F8E" w:rsidRDefault="00D26F8E">
      <w:pPr>
        <w:rPr>
          <w:b/>
          <w:color w:val="632423" w:themeColor="accent2" w:themeShade="80"/>
          <w:sz w:val="24"/>
          <w:szCs w:val="24"/>
        </w:rPr>
      </w:pPr>
    </w:p>
    <w:sectPr w:rsidR="00D26F8E" w:rsidRPr="00D2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15EA8"/>
    <w:rsid w:val="00116438"/>
    <w:rsid w:val="001755D7"/>
    <w:rsid w:val="001B170E"/>
    <w:rsid w:val="001F229C"/>
    <w:rsid w:val="00236AC9"/>
    <w:rsid w:val="002829CE"/>
    <w:rsid w:val="002A0BD9"/>
    <w:rsid w:val="002A4A8C"/>
    <w:rsid w:val="002D5687"/>
    <w:rsid w:val="00302263"/>
    <w:rsid w:val="00357490"/>
    <w:rsid w:val="00364A36"/>
    <w:rsid w:val="00397944"/>
    <w:rsid w:val="003E7FD7"/>
    <w:rsid w:val="00475B07"/>
    <w:rsid w:val="00496FF1"/>
    <w:rsid w:val="004A2613"/>
    <w:rsid w:val="004C0899"/>
    <w:rsid w:val="004C6477"/>
    <w:rsid w:val="004C7C18"/>
    <w:rsid w:val="004F0F03"/>
    <w:rsid w:val="00501E6B"/>
    <w:rsid w:val="00551321"/>
    <w:rsid w:val="00577522"/>
    <w:rsid w:val="005941EA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D45A9"/>
    <w:rsid w:val="008F1941"/>
    <w:rsid w:val="008F6A54"/>
    <w:rsid w:val="00942DD2"/>
    <w:rsid w:val="00961CE5"/>
    <w:rsid w:val="00976898"/>
    <w:rsid w:val="00A16E49"/>
    <w:rsid w:val="00A71D28"/>
    <w:rsid w:val="00B10E2C"/>
    <w:rsid w:val="00B34252"/>
    <w:rsid w:val="00BE49A5"/>
    <w:rsid w:val="00C6353D"/>
    <w:rsid w:val="00CC4E8A"/>
    <w:rsid w:val="00D26F8E"/>
    <w:rsid w:val="00D85419"/>
    <w:rsid w:val="00DB1C2B"/>
    <w:rsid w:val="00E25AF0"/>
    <w:rsid w:val="00E52030"/>
    <w:rsid w:val="00E52E83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D26F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D26F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77A17671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2015-01-11T10:42:00Z</dcterms:created>
  <dcterms:modified xsi:type="dcterms:W3CDTF">2015-04-07T14:29:00Z</dcterms:modified>
</cp:coreProperties>
</file>