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WJEC Computer Science 2017 Specification Scheme of Work</w:t>
      </w:r>
    </w:p>
    <w:tbl>
      <w:tblPr>
        <w:tblStyle w:val="Table1"/>
        <w:bidiVisual w:val="0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5685"/>
        <w:gridCol w:w="3900"/>
        <w:gridCol w:w="3518"/>
        <w:tblGridChange w:id="0">
          <w:tblGrid>
            <w:gridCol w:w="855"/>
            <w:gridCol w:w="5685"/>
            <w:gridCol w:w="3900"/>
            <w:gridCol w:w="3518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Week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Topic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Teaching Activity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Notes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Hardware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the characteristics of CPU architecture, including Von Neumann architectures.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and explain the role of the components of the CPU in the fetch-decode-execute cycle.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Explain how performance is affected by the cache size, clock speed and number of cores.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Explain the difference between RISC and CISC types of processors.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 a Von Neumann architecture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Using a labelled CPU diagram, explain the fetch-decode-execute cycle.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>
                <w:rFonts w:ascii="Proxima Nova" w:cs="Proxima Nova" w:eastAsia="Proxima Nova" w:hAnsi="Proxima Nova"/>
                <w:color w:val="ee612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Define cache, clock speed and cores.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ee6123"/>
                <w:sz w:val="21"/>
                <w:szCs w:val="21"/>
                <w:highlight w:val="white"/>
                <w:rtl w:val="0"/>
              </w:rPr>
              <w:t xml:space="preserve">bit.ly/ahcs2kcr1P0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>
                <w:rFonts w:ascii="Proxima Nova" w:cs="Proxima Nova" w:eastAsia="Proxima Nova" w:hAnsi="Proxima Nova"/>
                <w:color w:val="ee612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Use RISC Simulator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ee6123"/>
                <w:sz w:val="21"/>
                <w:szCs w:val="21"/>
                <w:highlight w:val="white"/>
                <w:rtl w:val="0"/>
              </w:rPr>
              <w:t xml:space="preserve">bit.ly/ahcs2ku84rI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Ensure correct symbols are used to represent elements as shown in Appendix C of the specification.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>
                <w:rFonts w:ascii="Proxima Nova" w:cs="Proxima Nova" w:eastAsia="Proxima Nova" w:hAnsi="Proxima Nova"/>
                <w:color w:val="ee612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Instruction set here for the development of tasks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ee6123"/>
                <w:sz w:val="21"/>
                <w:szCs w:val="21"/>
                <w:highlight w:val="white"/>
                <w:rtl w:val="0"/>
              </w:rPr>
              <w:t xml:space="preserve">bit.ly/ahcs2kPMz5R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