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A8" w:rsidRPr="00835A33" w:rsidRDefault="003E33D4">
      <w:pPr>
        <w:rPr>
          <w:rFonts w:asciiTheme="majorHAnsi" w:hAnsiTheme="majorHAnsi"/>
          <w:sz w:val="20"/>
          <w:szCs w:val="20"/>
        </w:rPr>
      </w:pPr>
      <w:r w:rsidRPr="003E33D4">
        <w:rPr>
          <w:rFonts w:asciiTheme="majorHAnsi" w:hAnsiTheme="majorHAnsi"/>
          <w:b/>
          <w:noProof/>
          <w:sz w:val="20"/>
          <w:szCs w:val="20"/>
          <w:lang w:val="en-US"/>
        </w:rPr>
        <mc:AlternateContent>
          <mc:Choice Requires="wps">
            <w:drawing>
              <wp:anchor distT="0" distB="0" distL="114300" distR="114300" simplePos="0" relativeHeight="251659264" behindDoc="0" locked="0" layoutInCell="0" allowOverlap="1" wp14:anchorId="0C30613E" wp14:editId="370F4125">
                <wp:simplePos x="0" y="0"/>
                <wp:positionH relativeFrom="margin">
                  <wp:posOffset>-421005</wp:posOffset>
                </wp:positionH>
                <wp:positionV relativeFrom="margin">
                  <wp:posOffset>-540385</wp:posOffset>
                </wp:positionV>
                <wp:extent cx="2332990" cy="1367790"/>
                <wp:effectExtent l="0" t="0" r="10160" b="22860"/>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1367790"/>
                        </a:xfrm>
                        <a:prstGeom prst="bracketPair">
                          <a:avLst>
                            <a:gd name="adj" fmla="val 8051"/>
                          </a:avLst>
                        </a:prstGeom>
                        <a:ln>
                          <a:headEnd/>
                          <a:tailEnd/>
                        </a:ln>
                        <a:extLst/>
                      </wps:spPr>
                      <wps:style>
                        <a:lnRef idx="1">
                          <a:schemeClr val="accent1"/>
                        </a:lnRef>
                        <a:fillRef idx="0">
                          <a:schemeClr val="accent1"/>
                        </a:fillRef>
                        <a:effectRef idx="0">
                          <a:schemeClr val="accent1"/>
                        </a:effectRef>
                        <a:fontRef idx="minor">
                          <a:schemeClr val="tx1"/>
                        </a:fontRef>
                      </wps:style>
                      <wps:txbx>
                        <w:txbxContent>
                          <w:p w:rsidR="003E33D4" w:rsidRDefault="003E33D4" w:rsidP="003E33D4">
                            <w:pPr>
                              <w:spacing w:after="0"/>
                              <w:jc w:val="center"/>
                              <w:rPr>
                                <w:i/>
                                <w:iCs/>
                                <w:color w:val="7F7F7F" w:themeColor="text1" w:themeTint="80"/>
                                <w:sz w:val="24"/>
                              </w:rPr>
                            </w:pPr>
                          </w:p>
                          <w:p w:rsidR="003E33D4" w:rsidRDefault="003E33D4" w:rsidP="003E33D4">
                            <w:pPr>
                              <w:spacing w:after="0"/>
                              <w:jc w:val="center"/>
                              <w:rPr>
                                <w:i/>
                                <w:iCs/>
                                <w:color w:val="7F7F7F" w:themeColor="text1" w:themeTint="80"/>
                                <w:sz w:val="24"/>
                              </w:rPr>
                            </w:pPr>
                            <w:r>
                              <w:rPr>
                                <w:i/>
                                <w:iCs/>
                                <w:color w:val="7F7F7F" w:themeColor="text1" w:themeTint="80"/>
                                <w:sz w:val="24"/>
                              </w:rPr>
                              <w:t>Mount. Everest</w:t>
                            </w:r>
                          </w:p>
                          <w:p w:rsidR="003E33D4" w:rsidRDefault="003E33D4" w:rsidP="003E33D4">
                            <w:pPr>
                              <w:spacing w:after="0"/>
                              <w:jc w:val="center"/>
                              <w:rPr>
                                <w:i/>
                                <w:iCs/>
                                <w:color w:val="7F7F7F" w:themeColor="text1" w:themeTint="80"/>
                                <w:sz w:val="24"/>
                              </w:rPr>
                            </w:pPr>
                            <w:r>
                              <w:rPr>
                                <w:i/>
                                <w:iCs/>
                                <w:color w:val="7F7F7F" w:themeColor="text1" w:themeTint="80"/>
                                <w:sz w:val="24"/>
                              </w:rPr>
                              <w:t>Writing to Persuade</w:t>
                            </w:r>
                          </w:p>
                          <w:p w:rsidR="003E33D4" w:rsidRDefault="003E33D4" w:rsidP="003E33D4">
                            <w:pPr>
                              <w:spacing w:after="0"/>
                              <w:jc w:val="center"/>
                              <w:rPr>
                                <w:i/>
                                <w:iCs/>
                                <w:color w:val="7F7F7F" w:themeColor="text1" w:themeTint="80"/>
                                <w:sz w:val="24"/>
                              </w:rPr>
                            </w:pPr>
                            <w:r>
                              <w:rPr>
                                <w:i/>
                                <w:iCs/>
                                <w:color w:val="7F7F7F" w:themeColor="text1" w:themeTint="80"/>
                                <w:sz w:val="24"/>
                              </w:rPr>
                              <w:t>KS3 Unit of Work</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15pt;margin-top:-42.55pt;width:183.7pt;height:107.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" o:allowincell="f" adj="1739" strokecolor="#4579b8 [3044]">
                <v:textbox inset="3.6pt,,3.6pt">
                  <w:txbxContent>
                    <w:p w:rsidR="003E33D4" w:rsidRDefault="003E33D4" w:rsidP="003E33D4">
                      <w:pPr>
                        <w:spacing w:after="0"/>
                        <w:jc w:val="center"/>
                        <w:rPr>
                          <w:i/>
                          <w:iCs/>
                          <w:color w:val="7F7F7F" w:themeColor="text1" w:themeTint="80"/>
                          <w:sz w:val="24"/>
                        </w:rPr>
                      </w:pPr>
                    </w:p>
                    <w:p w:rsidR="003E33D4" w:rsidRDefault="003E33D4" w:rsidP="003E33D4">
                      <w:pPr>
                        <w:spacing w:after="0"/>
                        <w:jc w:val="center"/>
                        <w:rPr>
                          <w:i/>
                          <w:iCs/>
                          <w:color w:val="7F7F7F" w:themeColor="text1" w:themeTint="80"/>
                          <w:sz w:val="24"/>
                        </w:rPr>
                      </w:pPr>
                      <w:r>
                        <w:rPr>
                          <w:i/>
                          <w:iCs/>
                          <w:color w:val="7F7F7F" w:themeColor="text1" w:themeTint="80"/>
                          <w:sz w:val="24"/>
                        </w:rPr>
                        <w:t>Mount. Everest</w:t>
                      </w:r>
                    </w:p>
                    <w:p w:rsidR="003E33D4" w:rsidRDefault="003E33D4" w:rsidP="003E33D4">
                      <w:pPr>
                        <w:spacing w:after="0"/>
                        <w:jc w:val="center"/>
                        <w:rPr>
                          <w:i/>
                          <w:iCs/>
                          <w:color w:val="7F7F7F" w:themeColor="text1" w:themeTint="80"/>
                          <w:sz w:val="24"/>
                        </w:rPr>
                      </w:pPr>
                      <w:r>
                        <w:rPr>
                          <w:i/>
                          <w:iCs/>
                          <w:color w:val="7F7F7F" w:themeColor="text1" w:themeTint="80"/>
                          <w:sz w:val="24"/>
                        </w:rPr>
                        <w:t>Writing to Persuade</w:t>
                      </w:r>
                    </w:p>
                    <w:p w:rsidR="003E33D4" w:rsidRDefault="003E33D4" w:rsidP="003E33D4">
                      <w:pPr>
                        <w:spacing w:after="0"/>
                        <w:jc w:val="center"/>
                        <w:rPr>
                          <w:i/>
                          <w:iCs/>
                          <w:color w:val="7F7F7F" w:themeColor="text1" w:themeTint="80"/>
                          <w:sz w:val="24"/>
                        </w:rPr>
                      </w:pPr>
                      <w:r>
                        <w:rPr>
                          <w:i/>
                          <w:iCs/>
                          <w:color w:val="7F7F7F" w:themeColor="text1" w:themeTint="80"/>
                          <w:sz w:val="24"/>
                        </w:rPr>
                        <w:t>KS3 Unit of Work</w:t>
                      </w:r>
                    </w:p>
                  </w:txbxContent>
                </v:textbox>
                <w10:wrap type="square" anchorx="margin" anchory="margin"/>
              </v:shape>
            </w:pict>
          </mc:Fallback>
        </mc:AlternateContent>
      </w:r>
    </w:p>
    <w:p w:rsidR="00A157A8" w:rsidRPr="00835A33" w:rsidRDefault="00A157A8">
      <w:pPr>
        <w:rPr>
          <w:rFonts w:asciiTheme="majorHAnsi" w:hAnsiTheme="majorHAnsi"/>
          <w:sz w:val="20"/>
          <w:szCs w:val="20"/>
        </w:rPr>
      </w:pPr>
    </w:p>
    <w:tbl>
      <w:tblPr>
        <w:tblStyle w:val="TableGrid"/>
        <w:tblpPr w:leftFromText="180" w:rightFromText="180" w:vertAnchor="text" w:horzAnchor="margin" w:tblpY="582"/>
        <w:tblW w:w="10740" w:type="dxa"/>
        <w:tblLook w:val="04A0" w:firstRow="1" w:lastRow="0" w:firstColumn="1" w:lastColumn="0" w:noHBand="0" w:noVBand="1"/>
      </w:tblPr>
      <w:tblGrid>
        <w:gridCol w:w="10740"/>
      </w:tblGrid>
      <w:tr w:rsidR="001A6A9A" w:rsidRPr="00835A33" w:rsidTr="003E33D4">
        <w:tc>
          <w:tcPr>
            <w:tcW w:w="10740" w:type="dxa"/>
          </w:tcPr>
          <w:p w:rsidR="001A6A9A" w:rsidRDefault="001A6A9A" w:rsidP="001A6A9A">
            <w:pPr>
              <w:rPr>
                <w:rFonts w:asciiTheme="majorHAnsi" w:hAnsiTheme="majorHAnsi"/>
                <w:b/>
                <w:sz w:val="20"/>
                <w:szCs w:val="20"/>
              </w:rPr>
            </w:pPr>
            <w:r>
              <w:rPr>
                <w:rFonts w:asciiTheme="majorHAnsi" w:hAnsiTheme="majorHAnsi"/>
                <w:b/>
                <w:sz w:val="20"/>
                <w:szCs w:val="20"/>
              </w:rPr>
              <w:t>Suggested year: 9</w:t>
            </w:r>
          </w:p>
          <w:p w:rsidR="001A6A9A" w:rsidRPr="0031300F" w:rsidRDefault="001A6A9A" w:rsidP="001A6A9A">
            <w:pPr>
              <w:rPr>
                <w:rFonts w:asciiTheme="majorHAnsi" w:hAnsiTheme="majorHAnsi"/>
                <w:b/>
                <w:sz w:val="20"/>
                <w:szCs w:val="20"/>
              </w:rPr>
            </w:pPr>
            <w:r>
              <w:rPr>
                <w:rFonts w:asciiTheme="majorHAnsi" w:hAnsiTheme="majorHAnsi"/>
                <w:b/>
                <w:sz w:val="20"/>
                <w:szCs w:val="20"/>
              </w:rPr>
              <w:t xml:space="preserve">Suggested duration: 25 lessons </w:t>
            </w:r>
          </w:p>
        </w:tc>
      </w:tr>
      <w:tr w:rsidR="001A6A9A" w:rsidRPr="00835A33" w:rsidTr="003E33D4">
        <w:tc>
          <w:tcPr>
            <w:tcW w:w="10740" w:type="dxa"/>
          </w:tcPr>
          <w:p w:rsidR="001A6A9A" w:rsidRPr="0031300F" w:rsidRDefault="001A6A9A" w:rsidP="001A6A9A">
            <w:pPr>
              <w:rPr>
                <w:rFonts w:asciiTheme="majorHAnsi" w:hAnsiTheme="majorHAnsi"/>
                <w:b/>
                <w:sz w:val="20"/>
                <w:szCs w:val="20"/>
              </w:rPr>
            </w:pPr>
            <w:r w:rsidRPr="0031300F">
              <w:rPr>
                <w:rFonts w:asciiTheme="majorHAnsi" w:hAnsiTheme="majorHAnsi"/>
                <w:b/>
                <w:sz w:val="20"/>
                <w:szCs w:val="20"/>
              </w:rPr>
              <w:t>Rationale</w:t>
            </w:r>
          </w:p>
          <w:p w:rsidR="001A6A9A" w:rsidRPr="001A6A9A" w:rsidRDefault="001A6A9A" w:rsidP="001B6370">
            <w:pPr>
              <w:ind w:left="360"/>
              <w:rPr>
                <w:color w:val="000000" w:themeColor="text1"/>
                <w:sz w:val="20"/>
                <w:szCs w:val="20"/>
              </w:rPr>
            </w:pPr>
            <w:r w:rsidRPr="001A6A9A">
              <w:rPr>
                <w:color w:val="000000" w:themeColor="text1"/>
                <w:sz w:val="20"/>
                <w:szCs w:val="20"/>
              </w:rPr>
              <w:t>This unit is designed to develop</w:t>
            </w:r>
            <w:r w:rsidR="001B6370">
              <w:rPr>
                <w:color w:val="000000" w:themeColor="text1"/>
                <w:sz w:val="20"/>
                <w:szCs w:val="20"/>
              </w:rPr>
              <w:t xml:space="preserve"> learners’</w:t>
            </w:r>
            <w:r w:rsidRPr="001A6A9A">
              <w:rPr>
                <w:color w:val="000000" w:themeColor="text1"/>
                <w:sz w:val="20"/>
                <w:szCs w:val="20"/>
              </w:rPr>
              <w:t xml:space="preserve"> ability to write for a given audience and purpose. It will support</w:t>
            </w:r>
            <w:r w:rsidR="001B6370">
              <w:rPr>
                <w:color w:val="000000" w:themeColor="text1"/>
                <w:sz w:val="20"/>
                <w:szCs w:val="20"/>
              </w:rPr>
              <w:t xml:space="preserve"> learners</w:t>
            </w:r>
            <w:r w:rsidRPr="001A6A9A">
              <w:rPr>
                <w:color w:val="000000" w:themeColor="text1"/>
                <w:sz w:val="20"/>
                <w:szCs w:val="20"/>
              </w:rPr>
              <w:t xml:space="preserve"> to consider how information is communicated to the reader and the effects of language. </w:t>
            </w:r>
            <w:r w:rsidR="001B6370">
              <w:rPr>
                <w:color w:val="000000" w:themeColor="text1"/>
                <w:sz w:val="20"/>
                <w:szCs w:val="20"/>
              </w:rPr>
              <w:t>Learners</w:t>
            </w:r>
            <w:r w:rsidRPr="001A6A9A">
              <w:rPr>
                <w:color w:val="000000" w:themeColor="text1"/>
                <w:sz w:val="20"/>
                <w:szCs w:val="20"/>
              </w:rPr>
              <w:t xml:space="preserve"> will also focus on the accuracy of their writing and how </w:t>
            </w:r>
            <w:proofErr w:type="spellStart"/>
            <w:r w:rsidRPr="001A6A9A">
              <w:rPr>
                <w:color w:val="000000" w:themeColor="text1"/>
                <w:sz w:val="20"/>
                <w:szCs w:val="20"/>
              </w:rPr>
              <w:t>SPaG</w:t>
            </w:r>
            <w:proofErr w:type="spellEnd"/>
            <w:r w:rsidRPr="001A6A9A">
              <w:rPr>
                <w:color w:val="000000" w:themeColor="text1"/>
                <w:sz w:val="20"/>
                <w:szCs w:val="20"/>
              </w:rPr>
              <w:t xml:space="preserve"> can be used to convey meaning and create effects. </w:t>
            </w:r>
          </w:p>
        </w:tc>
      </w:tr>
      <w:tr w:rsidR="001A6A9A" w:rsidRPr="00835A33" w:rsidTr="003E33D4">
        <w:tc>
          <w:tcPr>
            <w:tcW w:w="10740" w:type="dxa"/>
          </w:tcPr>
          <w:p w:rsidR="001A6A9A" w:rsidRPr="0031300F" w:rsidRDefault="001A6A9A" w:rsidP="001A6A9A">
            <w:pPr>
              <w:rPr>
                <w:rFonts w:asciiTheme="majorHAnsi" w:hAnsiTheme="majorHAnsi"/>
                <w:b/>
                <w:sz w:val="20"/>
                <w:szCs w:val="20"/>
              </w:rPr>
            </w:pPr>
            <w:r w:rsidRPr="0031300F">
              <w:rPr>
                <w:rFonts w:asciiTheme="majorHAnsi" w:hAnsiTheme="majorHAnsi"/>
                <w:b/>
                <w:sz w:val="20"/>
                <w:szCs w:val="20"/>
              </w:rPr>
              <w:t>Learning Outcome</w:t>
            </w:r>
          </w:p>
          <w:p w:rsidR="001A6A9A" w:rsidRPr="001A6A9A" w:rsidRDefault="001A6A9A" w:rsidP="001A6A9A">
            <w:pPr>
              <w:rPr>
                <w:sz w:val="20"/>
                <w:szCs w:val="20"/>
              </w:rPr>
            </w:pPr>
            <w:r>
              <w:rPr>
                <w:sz w:val="20"/>
                <w:szCs w:val="20"/>
              </w:rPr>
              <w:t>Persuasive speech</w:t>
            </w:r>
          </w:p>
        </w:tc>
      </w:tr>
      <w:tr w:rsidR="001A6A9A" w:rsidRPr="00835A33" w:rsidTr="003E33D4">
        <w:tc>
          <w:tcPr>
            <w:tcW w:w="10740" w:type="dxa"/>
            <w:shd w:val="clear" w:color="auto" w:fill="FFFFFF" w:themeFill="background1"/>
          </w:tcPr>
          <w:p w:rsidR="001A6A9A" w:rsidRPr="001A6A9A" w:rsidRDefault="001A6A9A" w:rsidP="001A6A9A">
            <w:pPr>
              <w:rPr>
                <w:b/>
                <w:sz w:val="20"/>
                <w:szCs w:val="20"/>
              </w:rPr>
            </w:pPr>
            <w:r w:rsidRPr="001A6A9A">
              <w:rPr>
                <w:b/>
                <w:sz w:val="20"/>
                <w:szCs w:val="20"/>
              </w:rPr>
              <w:t>Learning Objectives</w:t>
            </w:r>
          </w:p>
          <w:p w:rsidR="001A6A9A" w:rsidRPr="001A6A9A" w:rsidRDefault="001A6A9A" w:rsidP="001A6A9A">
            <w:pPr>
              <w:rPr>
                <w:b/>
                <w:sz w:val="20"/>
                <w:szCs w:val="20"/>
              </w:rPr>
            </w:pPr>
            <w:r w:rsidRPr="001A6A9A">
              <w:rPr>
                <w:b/>
                <w:sz w:val="20"/>
                <w:szCs w:val="20"/>
              </w:rPr>
              <w:t>LNF Coverage: Writing: Organising ideas and information</w:t>
            </w:r>
          </w:p>
          <w:p w:rsidR="001A6A9A" w:rsidRPr="001A6A9A" w:rsidRDefault="001A6A9A" w:rsidP="001A6A9A">
            <w:pPr>
              <w:rPr>
                <w:b/>
                <w:i/>
                <w:sz w:val="20"/>
                <w:szCs w:val="20"/>
              </w:rPr>
            </w:pPr>
            <w:r w:rsidRPr="001A6A9A">
              <w:rPr>
                <w:b/>
                <w:i/>
                <w:sz w:val="20"/>
                <w:szCs w:val="20"/>
              </w:rPr>
              <w:t>Meaning, purposes, readers</w:t>
            </w:r>
          </w:p>
          <w:p w:rsidR="001A6A9A" w:rsidRPr="001A6A9A" w:rsidRDefault="001A6A9A" w:rsidP="001A6A9A">
            <w:pPr>
              <w:pStyle w:val="ListParagraph"/>
              <w:numPr>
                <w:ilvl w:val="0"/>
                <w:numId w:val="10"/>
              </w:numPr>
              <w:rPr>
                <w:color w:val="000000" w:themeColor="text1"/>
                <w:sz w:val="20"/>
                <w:szCs w:val="20"/>
              </w:rPr>
            </w:pPr>
            <w:proofErr w:type="gramStart"/>
            <w:r w:rsidRPr="001A6A9A">
              <w:rPr>
                <w:color w:val="000000" w:themeColor="text1"/>
                <w:sz w:val="20"/>
                <w:szCs w:val="20"/>
              </w:rPr>
              <w:t>make</w:t>
            </w:r>
            <w:proofErr w:type="gramEnd"/>
            <w:r w:rsidRPr="001A6A9A">
              <w:rPr>
                <w:color w:val="000000" w:themeColor="text1"/>
                <w:sz w:val="20"/>
                <w:szCs w:val="20"/>
              </w:rPr>
              <w:t xml:space="preserve"> connections and/ or elaborate to ensure full coverage of a topic.</w:t>
            </w:r>
          </w:p>
          <w:p w:rsidR="001A6A9A" w:rsidRPr="001A6A9A" w:rsidRDefault="001A6A9A" w:rsidP="001A6A9A">
            <w:pPr>
              <w:pStyle w:val="ListParagraph"/>
              <w:numPr>
                <w:ilvl w:val="0"/>
                <w:numId w:val="10"/>
              </w:numPr>
              <w:rPr>
                <w:color w:val="000000" w:themeColor="text1"/>
                <w:sz w:val="20"/>
                <w:szCs w:val="20"/>
              </w:rPr>
            </w:pPr>
            <w:r w:rsidRPr="001A6A9A">
              <w:rPr>
                <w:color w:val="000000" w:themeColor="text1"/>
                <w:sz w:val="20"/>
                <w:szCs w:val="20"/>
              </w:rPr>
              <w:t>in planning writing, make choices about content, language, structure and presentation to suit the purpose</w:t>
            </w:r>
          </w:p>
          <w:p w:rsidR="001A6A9A" w:rsidRPr="001A6A9A" w:rsidRDefault="001A6A9A" w:rsidP="001A6A9A">
            <w:pPr>
              <w:pStyle w:val="ListParagraph"/>
              <w:numPr>
                <w:ilvl w:val="0"/>
                <w:numId w:val="10"/>
              </w:numPr>
              <w:rPr>
                <w:color w:val="000000" w:themeColor="text1"/>
                <w:sz w:val="20"/>
                <w:szCs w:val="20"/>
              </w:rPr>
            </w:pPr>
            <w:proofErr w:type="gramStart"/>
            <w:r w:rsidRPr="001A6A9A">
              <w:rPr>
                <w:color w:val="000000" w:themeColor="text1"/>
                <w:sz w:val="20"/>
                <w:szCs w:val="20"/>
              </w:rPr>
              <w:t>use</w:t>
            </w:r>
            <w:proofErr w:type="gramEnd"/>
            <w:r w:rsidRPr="001A6A9A">
              <w:rPr>
                <w:color w:val="000000" w:themeColor="text1"/>
                <w:sz w:val="20"/>
                <w:szCs w:val="20"/>
              </w:rPr>
              <w:t xml:space="preserve"> summary, discussion of issues detailed explanations as appropriate to purpose.</w:t>
            </w:r>
          </w:p>
          <w:p w:rsidR="001A6A9A" w:rsidRDefault="001A6A9A" w:rsidP="001A6A9A">
            <w:pPr>
              <w:pStyle w:val="ListParagraph"/>
              <w:numPr>
                <w:ilvl w:val="0"/>
                <w:numId w:val="10"/>
              </w:numPr>
              <w:rPr>
                <w:color w:val="000000" w:themeColor="text1"/>
                <w:sz w:val="20"/>
                <w:szCs w:val="20"/>
              </w:rPr>
            </w:pPr>
            <w:proofErr w:type="gramStart"/>
            <w:r w:rsidRPr="001A6A9A">
              <w:rPr>
                <w:color w:val="000000" w:themeColor="text1"/>
                <w:sz w:val="20"/>
                <w:szCs w:val="20"/>
              </w:rPr>
              <w:t>give</w:t>
            </w:r>
            <w:proofErr w:type="gramEnd"/>
            <w:r w:rsidRPr="001A6A9A">
              <w:rPr>
                <w:color w:val="000000" w:themeColor="text1"/>
                <w:sz w:val="20"/>
                <w:szCs w:val="20"/>
              </w:rPr>
              <w:t xml:space="preserve"> due weight to evidence sources, explanations and logic when covering a topic. </w:t>
            </w:r>
          </w:p>
          <w:p w:rsidR="001A6A9A" w:rsidRPr="001A6A9A" w:rsidRDefault="001A6A9A" w:rsidP="001A6A9A">
            <w:pPr>
              <w:pStyle w:val="ListParagraph"/>
              <w:rPr>
                <w:color w:val="000000" w:themeColor="text1"/>
                <w:sz w:val="20"/>
                <w:szCs w:val="20"/>
              </w:rPr>
            </w:pPr>
          </w:p>
          <w:p w:rsidR="001A6A9A" w:rsidRPr="001A6A9A" w:rsidRDefault="001A6A9A" w:rsidP="001A6A9A">
            <w:pPr>
              <w:rPr>
                <w:b/>
                <w:i/>
                <w:color w:val="000000" w:themeColor="text1"/>
                <w:sz w:val="20"/>
                <w:szCs w:val="20"/>
              </w:rPr>
            </w:pPr>
            <w:r w:rsidRPr="001A6A9A">
              <w:rPr>
                <w:b/>
                <w:i/>
                <w:color w:val="000000" w:themeColor="text1"/>
                <w:sz w:val="20"/>
                <w:szCs w:val="20"/>
              </w:rPr>
              <w:t>Structure and organisation</w:t>
            </w:r>
          </w:p>
          <w:p w:rsidR="001A6A9A" w:rsidRPr="001A6A9A" w:rsidRDefault="001A6A9A" w:rsidP="001A6A9A">
            <w:pPr>
              <w:pStyle w:val="ListParagraph"/>
              <w:numPr>
                <w:ilvl w:val="0"/>
                <w:numId w:val="10"/>
              </w:numPr>
              <w:rPr>
                <w:color w:val="000000" w:themeColor="text1"/>
                <w:sz w:val="20"/>
                <w:szCs w:val="20"/>
              </w:rPr>
            </w:pPr>
            <w:proofErr w:type="gramStart"/>
            <w:r w:rsidRPr="001A6A9A">
              <w:rPr>
                <w:color w:val="000000" w:themeColor="text1"/>
                <w:sz w:val="20"/>
                <w:szCs w:val="20"/>
              </w:rPr>
              <w:t>select</w:t>
            </w:r>
            <w:proofErr w:type="gramEnd"/>
            <w:r w:rsidRPr="001A6A9A">
              <w:rPr>
                <w:color w:val="000000" w:themeColor="text1"/>
                <w:sz w:val="20"/>
                <w:szCs w:val="20"/>
              </w:rPr>
              <w:t xml:space="preserve">, </w:t>
            </w:r>
            <w:proofErr w:type="spellStart"/>
            <w:r w:rsidRPr="001A6A9A">
              <w:rPr>
                <w:color w:val="000000" w:themeColor="text1"/>
                <w:sz w:val="20"/>
                <w:szCs w:val="20"/>
              </w:rPr>
              <w:t>analyse</w:t>
            </w:r>
            <w:proofErr w:type="spellEnd"/>
            <w:r w:rsidRPr="001A6A9A">
              <w:rPr>
                <w:color w:val="000000" w:themeColor="text1"/>
                <w:sz w:val="20"/>
                <w:szCs w:val="20"/>
              </w:rPr>
              <w:t xml:space="preserve"> and present ideas and information convincingly or objectively.</w:t>
            </w:r>
          </w:p>
          <w:p w:rsidR="001A6A9A" w:rsidRPr="001A6A9A" w:rsidRDefault="001A6A9A" w:rsidP="001A6A9A">
            <w:pPr>
              <w:pStyle w:val="ListParagraph"/>
              <w:numPr>
                <w:ilvl w:val="0"/>
                <w:numId w:val="10"/>
              </w:numPr>
              <w:rPr>
                <w:color w:val="000000" w:themeColor="text1"/>
                <w:sz w:val="20"/>
                <w:szCs w:val="20"/>
              </w:rPr>
            </w:pPr>
            <w:proofErr w:type="spellStart"/>
            <w:proofErr w:type="gramStart"/>
            <w:r w:rsidRPr="001A6A9A">
              <w:rPr>
                <w:color w:val="000000" w:themeColor="text1"/>
                <w:sz w:val="20"/>
                <w:szCs w:val="20"/>
              </w:rPr>
              <w:t>organise</w:t>
            </w:r>
            <w:proofErr w:type="spellEnd"/>
            <w:proofErr w:type="gramEnd"/>
            <w:r w:rsidRPr="001A6A9A">
              <w:rPr>
                <w:color w:val="000000" w:themeColor="text1"/>
                <w:sz w:val="20"/>
                <w:szCs w:val="20"/>
              </w:rPr>
              <w:t xml:space="preserve"> longer pieces of writing making links within and between paragraphs. </w:t>
            </w:r>
          </w:p>
          <w:p w:rsidR="001A6A9A" w:rsidRPr="001A6A9A" w:rsidRDefault="001A6A9A" w:rsidP="001A6A9A">
            <w:pPr>
              <w:pStyle w:val="ListParagraph"/>
              <w:numPr>
                <w:ilvl w:val="0"/>
                <w:numId w:val="10"/>
              </w:numPr>
              <w:rPr>
                <w:color w:val="000000" w:themeColor="text1"/>
                <w:sz w:val="20"/>
                <w:szCs w:val="20"/>
              </w:rPr>
            </w:pPr>
            <w:proofErr w:type="gramStart"/>
            <w:r w:rsidRPr="001A6A9A">
              <w:rPr>
                <w:color w:val="000000" w:themeColor="text1"/>
                <w:sz w:val="20"/>
                <w:szCs w:val="20"/>
              </w:rPr>
              <w:t>choose</w:t>
            </w:r>
            <w:proofErr w:type="gramEnd"/>
            <w:r w:rsidRPr="001A6A9A">
              <w:rPr>
                <w:color w:val="000000" w:themeColor="text1"/>
                <w:sz w:val="20"/>
                <w:szCs w:val="20"/>
              </w:rPr>
              <w:t xml:space="preserve"> and use whole-text structures to support meaning and communication for effect, e.g. what are the best structures to successfully describe, explain, persuade?</w:t>
            </w:r>
          </w:p>
          <w:p w:rsidR="001A6A9A" w:rsidRPr="001A6A9A" w:rsidRDefault="001A6A9A" w:rsidP="001A6A9A">
            <w:pPr>
              <w:pStyle w:val="ListParagraph"/>
              <w:numPr>
                <w:ilvl w:val="0"/>
                <w:numId w:val="10"/>
              </w:numPr>
              <w:rPr>
                <w:color w:val="000000" w:themeColor="text1"/>
                <w:sz w:val="20"/>
                <w:szCs w:val="20"/>
              </w:rPr>
            </w:pPr>
            <w:r w:rsidRPr="001A6A9A">
              <w:rPr>
                <w:color w:val="000000" w:themeColor="text1"/>
                <w:sz w:val="20"/>
                <w:szCs w:val="20"/>
              </w:rPr>
              <w:t xml:space="preserve">select structures to </w:t>
            </w:r>
            <w:proofErr w:type="spellStart"/>
            <w:r w:rsidRPr="001A6A9A">
              <w:rPr>
                <w:color w:val="000000" w:themeColor="text1"/>
                <w:sz w:val="20"/>
                <w:szCs w:val="20"/>
              </w:rPr>
              <w:t>organise</w:t>
            </w:r>
            <w:proofErr w:type="spellEnd"/>
            <w:r w:rsidRPr="001A6A9A">
              <w:rPr>
                <w:color w:val="000000" w:themeColor="text1"/>
                <w:sz w:val="20"/>
                <w:szCs w:val="20"/>
              </w:rPr>
              <w:t xml:space="preserve"> writing using appropriate features effectively</w:t>
            </w:r>
          </w:p>
          <w:p w:rsidR="001A6A9A" w:rsidRPr="001A6A9A" w:rsidRDefault="001A6A9A" w:rsidP="001A6A9A">
            <w:pPr>
              <w:pStyle w:val="ListParagraph"/>
              <w:numPr>
                <w:ilvl w:val="0"/>
                <w:numId w:val="10"/>
              </w:numPr>
              <w:rPr>
                <w:color w:val="000000" w:themeColor="text1"/>
                <w:sz w:val="20"/>
                <w:szCs w:val="20"/>
              </w:rPr>
            </w:pPr>
            <w:r w:rsidRPr="001A6A9A">
              <w:rPr>
                <w:color w:val="000000" w:themeColor="text1"/>
                <w:sz w:val="20"/>
                <w:szCs w:val="20"/>
              </w:rPr>
              <w:t xml:space="preserve">use paragraphs and sections to give coherence no longer pieces of writing </w:t>
            </w:r>
          </w:p>
          <w:p w:rsidR="001A6A9A" w:rsidRPr="001A6A9A" w:rsidRDefault="001A6A9A" w:rsidP="001A6A9A">
            <w:pPr>
              <w:pStyle w:val="ListParagraph"/>
              <w:rPr>
                <w:color w:val="000000" w:themeColor="text1"/>
                <w:sz w:val="20"/>
                <w:szCs w:val="20"/>
              </w:rPr>
            </w:pPr>
          </w:p>
          <w:p w:rsidR="001A6A9A" w:rsidRPr="001A6A9A" w:rsidRDefault="001A6A9A" w:rsidP="001A6A9A">
            <w:pPr>
              <w:rPr>
                <w:b/>
                <w:color w:val="000000" w:themeColor="text1"/>
                <w:sz w:val="20"/>
                <w:szCs w:val="20"/>
              </w:rPr>
            </w:pPr>
            <w:r w:rsidRPr="001A6A9A">
              <w:rPr>
                <w:b/>
                <w:color w:val="000000" w:themeColor="text1"/>
                <w:sz w:val="20"/>
                <w:szCs w:val="20"/>
              </w:rPr>
              <w:t xml:space="preserve">LNF Coverage: Writing: Writing accurately </w:t>
            </w:r>
          </w:p>
          <w:p w:rsidR="001A6A9A" w:rsidRPr="001A6A9A" w:rsidRDefault="001A6A9A" w:rsidP="001A6A9A">
            <w:pPr>
              <w:rPr>
                <w:b/>
                <w:i/>
                <w:color w:val="000000" w:themeColor="text1"/>
                <w:sz w:val="20"/>
                <w:szCs w:val="20"/>
              </w:rPr>
            </w:pPr>
            <w:r w:rsidRPr="001A6A9A">
              <w:rPr>
                <w:b/>
                <w:i/>
                <w:color w:val="000000" w:themeColor="text1"/>
                <w:sz w:val="20"/>
                <w:szCs w:val="20"/>
              </w:rPr>
              <w:t>Language</w:t>
            </w:r>
          </w:p>
          <w:p w:rsidR="001A6A9A" w:rsidRPr="001A6A9A" w:rsidRDefault="001A6A9A" w:rsidP="001A6A9A">
            <w:pPr>
              <w:pStyle w:val="ListParagraph"/>
              <w:numPr>
                <w:ilvl w:val="0"/>
                <w:numId w:val="10"/>
              </w:numPr>
              <w:rPr>
                <w:b/>
                <w:i/>
                <w:color w:val="000000" w:themeColor="text1"/>
                <w:sz w:val="20"/>
                <w:szCs w:val="20"/>
              </w:rPr>
            </w:pPr>
            <w:r w:rsidRPr="001A6A9A">
              <w:rPr>
                <w:color w:val="000000" w:themeColor="text1"/>
                <w:sz w:val="20"/>
                <w:szCs w:val="20"/>
              </w:rPr>
              <w:t>use technical terms, language and expression consistent with the subject content</w:t>
            </w:r>
          </w:p>
          <w:p w:rsidR="001A6A9A" w:rsidRPr="001A6A9A" w:rsidRDefault="001A6A9A" w:rsidP="001A6A9A">
            <w:pPr>
              <w:pStyle w:val="ListParagraph"/>
              <w:numPr>
                <w:ilvl w:val="0"/>
                <w:numId w:val="10"/>
              </w:numPr>
              <w:rPr>
                <w:color w:val="000000" w:themeColor="text1"/>
                <w:sz w:val="20"/>
                <w:szCs w:val="20"/>
              </w:rPr>
            </w:pPr>
            <w:proofErr w:type="gramStart"/>
            <w:r w:rsidRPr="001A6A9A">
              <w:rPr>
                <w:color w:val="000000" w:themeColor="text1"/>
                <w:sz w:val="20"/>
                <w:szCs w:val="20"/>
              </w:rPr>
              <w:t>use</w:t>
            </w:r>
            <w:proofErr w:type="gramEnd"/>
            <w:r w:rsidRPr="001A6A9A">
              <w:rPr>
                <w:color w:val="000000" w:themeColor="text1"/>
                <w:sz w:val="20"/>
                <w:szCs w:val="20"/>
              </w:rPr>
              <w:t xml:space="preserve"> a wide range of technical terms, language and expression consistent with the subject content. </w:t>
            </w:r>
          </w:p>
          <w:p w:rsidR="001A6A9A" w:rsidRPr="001A6A9A" w:rsidRDefault="001A6A9A" w:rsidP="001A6A9A">
            <w:pPr>
              <w:ind w:left="360"/>
              <w:rPr>
                <w:color w:val="000000" w:themeColor="text1"/>
                <w:sz w:val="20"/>
                <w:szCs w:val="20"/>
              </w:rPr>
            </w:pPr>
          </w:p>
          <w:p w:rsidR="001A6A9A" w:rsidRPr="001A6A9A" w:rsidRDefault="001A6A9A" w:rsidP="001A6A9A">
            <w:pPr>
              <w:rPr>
                <w:b/>
                <w:i/>
                <w:color w:val="000000" w:themeColor="text1"/>
                <w:sz w:val="20"/>
                <w:szCs w:val="20"/>
              </w:rPr>
            </w:pPr>
            <w:r w:rsidRPr="001A6A9A">
              <w:rPr>
                <w:b/>
                <w:i/>
                <w:color w:val="000000" w:themeColor="text1"/>
                <w:sz w:val="20"/>
                <w:szCs w:val="20"/>
              </w:rPr>
              <w:t>Handwriting, grammar, punctuation and spelling</w:t>
            </w:r>
          </w:p>
          <w:p w:rsidR="001A6A9A" w:rsidRPr="001A6A9A" w:rsidRDefault="001A6A9A" w:rsidP="001A6A9A">
            <w:pPr>
              <w:pStyle w:val="ListParagraph"/>
              <w:numPr>
                <w:ilvl w:val="0"/>
                <w:numId w:val="10"/>
              </w:numPr>
              <w:rPr>
                <w:b/>
                <w:i/>
                <w:color w:val="000000" w:themeColor="text1"/>
                <w:sz w:val="20"/>
                <w:szCs w:val="20"/>
              </w:rPr>
            </w:pPr>
            <w:r w:rsidRPr="001A6A9A">
              <w:rPr>
                <w:color w:val="000000" w:themeColor="text1"/>
                <w:sz w:val="20"/>
                <w:szCs w:val="20"/>
              </w:rPr>
              <w:t>use the full range of punctuation in order to clarify meaning, e.g. semicolons, colons and parentheses</w:t>
            </w:r>
          </w:p>
          <w:p w:rsidR="001A6A9A" w:rsidRPr="001A6A9A" w:rsidRDefault="001A6A9A" w:rsidP="001A6A9A">
            <w:pPr>
              <w:pStyle w:val="ListParagraph"/>
              <w:numPr>
                <w:ilvl w:val="0"/>
                <w:numId w:val="10"/>
              </w:numPr>
              <w:rPr>
                <w:b/>
                <w:i/>
                <w:color w:val="000000" w:themeColor="text1"/>
                <w:sz w:val="20"/>
                <w:szCs w:val="20"/>
              </w:rPr>
            </w:pPr>
            <w:r w:rsidRPr="001A6A9A">
              <w:rPr>
                <w:color w:val="000000" w:themeColor="text1"/>
                <w:sz w:val="20"/>
                <w:szCs w:val="20"/>
              </w:rPr>
              <w:t>produce fluent and legible handwriting</w:t>
            </w:r>
          </w:p>
          <w:p w:rsidR="001A6A9A" w:rsidRPr="001A6A9A" w:rsidRDefault="001A6A9A" w:rsidP="001A6A9A">
            <w:pPr>
              <w:pStyle w:val="ListParagraph"/>
              <w:numPr>
                <w:ilvl w:val="0"/>
                <w:numId w:val="10"/>
              </w:numPr>
              <w:rPr>
                <w:b/>
                <w:i/>
                <w:color w:val="000000" w:themeColor="text1"/>
                <w:sz w:val="20"/>
                <w:szCs w:val="20"/>
              </w:rPr>
            </w:pPr>
            <w:proofErr w:type="gramStart"/>
            <w:r w:rsidRPr="001A6A9A">
              <w:rPr>
                <w:color w:val="000000" w:themeColor="text1"/>
                <w:sz w:val="20"/>
                <w:szCs w:val="20"/>
              </w:rPr>
              <w:t>write</w:t>
            </w:r>
            <w:proofErr w:type="gramEnd"/>
            <w:r w:rsidRPr="001A6A9A">
              <w:rPr>
                <w:color w:val="000000" w:themeColor="text1"/>
                <w:sz w:val="20"/>
                <w:szCs w:val="20"/>
              </w:rPr>
              <w:t xml:space="preserve"> simple, compound and complex sentences with grammatical accuracy in their writing. </w:t>
            </w:r>
          </w:p>
          <w:p w:rsidR="001A6A9A" w:rsidRPr="001A6A9A" w:rsidRDefault="001A6A9A" w:rsidP="001A6A9A">
            <w:pPr>
              <w:pStyle w:val="ListParagraph"/>
              <w:rPr>
                <w:color w:val="000000" w:themeColor="text1"/>
                <w:sz w:val="20"/>
                <w:szCs w:val="20"/>
              </w:rPr>
            </w:pPr>
          </w:p>
          <w:p w:rsidR="001A6A9A" w:rsidRPr="001A6A9A" w:rsidRDefault="001A6A9A" w:rsidP="001A6A9A">
            <w:pPr>
              <w:rPr>
                <w:b/>
                <w:color w:val="000000" w:themeColor="text1"/>
                <w:sz w:val="20"/>
                <w:szCs w:val="20"/>
              </w:rPr>
            </w:pPr>
            <w:r>
              <w:rPr>
                <w:b/>
                <w:color w:val="000000" w:themeColor="text1"/>
                <w:sz w:val="20"/>
                <w:szCs w:val="20"/>
              </w:rPr>
              <w:t xml:space="preserve">KS3 </w:t>
            </w:r>
            <w:proofErr w:type="spellStart"/>
            <w:r w:rsidRPr="001A6A9A">
              <w:rPr>
                <w:b/>
                <w:color w:val="000000" w:themeColor="text1"/>
                <w:sz w:val="20"/>
                <w:szCs w:val="20"/>
              </w:rPr>
              <w:t>PoS</w:t>
            </w:r>
            <w:proofErr w:type="spellEnd"/>
          </w:p>
          <w:p w:rsidR="001A6A9A" w:rsidRPr="001A6A9A" w:rsidRDefault="001A6A9A" w:rsidP="001A6A9A">
            <w:pPr>
              <w:pStyle w:val="ListParagraph"/>
              <w:numPr>
                <w:ilvl w:val="0"/>
                <w:numId w:val="10"/>
              </w:numPr>
              <w:rPr>
                <w:color w:val="000000" w:themeColor="text1"/>
                <w:sz w:val="20"/>
                <w:szCs w:val="20"/>
              </w:rPr>
            </w:pPr>
            <w:r w:rsidRPr="001A6A9A">
              <w:rPr>
                <w:color w:val="000000" w:themeColor="text1"/>
                <w:sz w:val="20"/>
                <w:szCs w:val="20"/>
              </w:rPr>
              <w:t>use the characteristic features of literary and non-literary texts in their own writing, adapting their style to suit the audience and purpose</w:t>
            </w:r>
          </w:p>
          <w:p w:rsidR="001A6A9A" w:rsidRPr="001A6A9A" w:rsidRDefault="001A6A9A" w:rsidP="001A6A9A">
            <w:pPr>
              <w:pStyle w:val="ListParagraph"/>
              <w:numPr>
                <w:ilvl w:val="0"/>
                <w:numId w:val="10"/>
              </w:numPr>
              <w:rPr>
                <w:color w:val="000000" w:themeColor="text1"/>
                <w:sz w:val="20"/>
                <w:szCs w:val="20"/>
              </w:rPr>
            </w:pPr>
            <w:r w:rsidRPr="001A6A9A">
              <w:rPr>
                <w:color w:val="000000" w:themeColor="text1"/>
                <w:sz w:val="20"/>
                <w:szCs w:val="20"/>
              </w:rPr>
              <w:t>use the range of sentence structures effectively to enhance the fluency and coherence of their writing</w:t>
            </w:r>
          </w:p>
          <w:p w:rsidR="001A6A9A" w:rsidRPr="001A6A9A" w:rsidRDefault="001A6A9A" w:rsidP="001A6A9A">
            <w:pPr>
              <w:pStyle w:val="ListParagraph"/>
              <w:numPr>
                <w:ilvl w:val="0"/>
                <w:numId w:val="10"/>
              </w:numPr>
              <w:rPr>
                <w:color w:val="000000" w:themeColor="text1"/>
                <w:sz w:val="20"/>
                <w:szCs w:val="20"/>
              </w:rPr>
            </w:pPr>
            <w:r w:rsidRPr="001A6A9A">
              <w:rPr>
                <w:color w:val="000000" w:themeColor="text1"/>
                <w:sz w:val="20"/>
                <w:szCs w:val="20"/>
              </w:rPr>
              <w:t>develop their ability to use paragraphs effectively</w:t>
            </w:r>
          </w:p>
          <w:p w:rsidR="001A6A9A" w:rsidRPr="001A6A9A" w:rsidRDefault="001A6A9A" w:rsidP="001A6A9A">
            <w:pPr>
              <w:pStyle w:val="ListParagraph"/>
              <w:numPr>
                <w:ilvl w:val="0"/>
                <w:numId w:val="10"/>
              </w:numPr>
              <w:rPr>
                <w:color w:val="000000" w:themeColor="text1"/>
                <w:sz w:val="20"/>
                <w:szCs w:val="20"/>
              </w:rPr>
            </w:pPr>
            <w:r w:rsidRPr="001A6A9A">
              <w:rPr>
                <w:color w:val="000000" w:themeColor="text1"/>
                <w:sz w:val="20"/>
                <w:szCs w:val="20"/>
              </w:rPr>
              <w:t>use the full range of punctuation in order to clarify meaning and create effect</w:t>
            </w:r>
          </w:p>
          <w:p w:rsidR="001A6A9A" w:rsidRPr="001A6A9A" w:rsidRDefault="001A6A9A" w:rsidP="001A6A9A">
            <w:pPr>
              <w:pStyle w:val="ListParagraph"/>
              <w:numPr>
                <w:ilvl w:val="0"/>
                <w:numId w:val="10"/>
              </w:numPr>
              <w:rPr>
                <w:color w:val="000000" w:themeColor="text1"/>
                <w:sz w:val="20"/>
                <w:szCs w:val="20"/>
              </w:rPr>
            </w:pPr>
            <w:r w:rsidRPr="001A6A9A">
              <w:rPr>
                <w:color w:val="000000" w:themeColor="text1"/>
                <w:sz w:val="20"/>
                <w:szCs w:val="20"/>
              </w:rPr>
              <w:t>choose and use a wide range of vocabulary with increasing precision</w:t>
            </w:r>
          </w:p>
          <w:p w:rsidR="001A6A9A" w:rsidRPr="001A6A9A" w:rsidRDefault="001A6A9A" w:rsidP="001A6A9A">
            <w:pPr>
              <w:pStyle w:val="ListParagraph"/>
              <w:numPr>
                <w:ilvl w:val="0"/>
                <w:numId w:val="10"/>
              </w:numPr>
              <w:rPr>
                <w:sz w:val="20"/>
                <w:szCs w:val="20"/>
              </w:rPr>
            </w:pPr>
            <w:r w:rsidRPr="001A6A9A">
              <w:rPr>
                <w:color w:val="000000" w:themeColor="text1"/>
                <w:sz w:val="20"/>
                <w:szCs w:val="20"/>
              </w:rPr>
              <w:t>use the standard forms of English: nouns, pronouns, adjectives, adverbs, prepositions, connectives and verb tenses</w:t>
            </w:r>
          </w:p>
          <w:p w:rsidR="001A6A9A" w:rsidRPr="001A6A9A" w:rsidRDefault="001A6A9A" w:rsidP="001A6A9A">
            <w:pPr>
              <w:rPr>
                <w:b/>
                <w:sz w:val="20"/>
                <w:szCs w:val="20"/>
              </w:rPr>
            </w:pPr>
            <w:r w:rsidRPr="001A6A9A">
              <w:rPr>
                <w:b/>
                <w:sz w:val="20"/>
                <w:szCs w:val="20"/>
              </w:rPr>
              <w:t xml:space="preserve">GCSE Specification </w:t>
            </w:r>
          </w:p>
          <w:p w:rsidR="001A6A9A" w:rsidRPr="001A6A9A" w:rsidRDefault="001A6A9A" w:rsidP="001A6A9A">
            <w:pPr>
              <w:pStyle w:val="ListParagraph"/>
              <w:numPr>
                <w:ilvl w:val="0"/>
                <w:numId w:val="11"/>
              </w:numPr>
              <w:rPr>
                <w:b/>
                <w:sz w:val="20"/>
                <w:szCs w:val="20"/>
              </w:rPr>
            </w:pPr>
            <w:proofErr w:type="gramStart"/>
            <w:r w:rsidRPr="001A6A9A">
              <w:rPr>
                <w:sz w:val="20"/>
                <w:szCs w:val="20"/>
              </w:rPr>
              <w:t>write</w:t>
            </w:r>
            <w:proofErr w:type="gramEnd"/>
            <w:r w:rsidRPr="001A6A9A">
              <w:rPr>
                <w:sz w:val="20"/>
                <w:szCs w:val="20"/>
              </w:rPr>
              <w:t xml:space="preserve"> to communicate clearly and effectively, using and adapting register and forms and selecting vocabulary and style appropriate to task and purpose in ways that engage the reader. </w:t>
            </w:r>
          </w:p>
          <w:p w:rsidR="001A6A9A" w:rsidRPr="001A6A9A" w:rsidRDefault="001A6A9A" w:rsidP="001A6A9A">
            <w:pPr>
              <w:pStyle w:val="ListParagraph"/>
              <w:numPr>
                <w:ilvl w:val="0"/>
                <w:numId w:val="11"/>
              </w:numPr>
              <w:rPr>
                <w:b/>
                <w:sz w:val="20"/>
                <w:szCs w:val="20"/>
              </w:rPr>
            </w:pPr>
            <w:proofErr w:type="gramStart"/>
            <w:r w:rsidRPr="001A6A9A">
              <w:rPr>
                <w:sz w:val="20"/>
                <w:szCs w:val="20"/>
              </w:rPr>
              <w:t>use</w:t>
            </w:r>
            <w:proofErr w:type="gramEnd"/>
            <w:r w:rsidRPr="001A6A9A">
              <w:rPr>
                <w:sz w:val="20"/>
                <w:szCs w:val="20"/>
              </w:rPr>
              <w:t xml:space="preserve"> linguistic, grammatical, structural and presentational features in their own writing to achieve particular effects, to engage and influence the reader and to support overall coherence.</w:t>
            </w:r>
          </w:p>
          <w:p w:rsidR="001A6A9A" w:rsidRPr="001A6A9A" w:rsidRDefault="001A6A9A" w:rsidP="001A6A9A">
            <w:pPr>
              <w:pStyle w:val="ListParagraph"/>
              <w:numPr>
                <w:ilvl w:val="0"/>
                <w:numId w:val="11"/>
              </w:numPr>
              <w:rPr>
                <w:b/>
                <w:sz w:val="20"/>
                <w:szCs w:val="20"/>
              </w:rPr>
            </w:pPr>
            <w:proofErr w:type="gramStart"/>
            <w:r w:rsidRPr="001A6A9A">
              <w:rPr>
                <w:sz w:val="20"/>
                <w:szCs w:val="20"/>
              </w:rPr>
              <w:t>use</w:t>
            </w:r>
            <w:proofErr w:type="gramEnd"/>
            <w:r w:rsidRPr="001A6A9A">
              <w:rPr>
                <w:sz w:val="20"/>
                <w:szCs w:val="20"/>
              </w:rPr>
              <w:t xml:space="preserve"> a range of sentence structures and paragraphs appropriately for clarity, purpose and effect, with accurate grammar, punctuation and spelling. </w:t>
            </w:r>
          </w:p>
          <w:p w:rsidR="001A6A9A" w:rsidRPr="001A6A9A" w:rsidRDefault="001A6A9A" w:rsidP="001A6A9A">
            <w:pPr>
              <w:ind w:left="360"/>
              <w:rPr>
                <w:b/>
                <w:sz w:val="20"/>
                <w:szCs w:val="20"/>
              </w:rPr>
            </w:pPr>
          </w:p>
        </w:tc>
      </w:tr>
    </w:tbl>
    <w:p w:rsidR="00A157A8" w:rsidRDefault="00A157A8">
      <w:pPr>
        <w:rPr>
          <w:rFonts w:asciiTheme="majorHAnsi" w:hAnsiTheme="majorHAnsi"/>
          <w:sz w:val="20"/>
          <w:szCs w:val="20"/>
        </w:rPr>
      </w:pPr>
    </w:p>
    <w:p w:rsidR="003E33D4" w:rsidRDefault="003E33D4">
      <w:pPr>
        <w:rPr>
          <w:rFonts w:asciiTheme="majorHAnsi" w:hAnsiTheme="majorHAnsi"/>
          <w:sz w:val="20"/>
          <w:szCs w:val="20"/>
        </w:rPr>
      </w:pPr>
      <w:r>
        <w:rPr>
          <w:rFonts w:asciiTheme="majorHAnsi" w:hAnsiTheme="majorHAnsi"/>
          <w:sz w:val="20"/>
          <w:szCs w:val="20"/>
        </w:rPr>
        <w:br w:type="page"/>
      </w:r>
    </w:p>
    <w:p w:rsidR="0031300F" w:rsidRDefault="0031300F">
      <w:pPr>
        <w:rPr>
          <w:rFonts w:asciiTheme="majorHAnsi" w:hAnsiTheme="majorHAnsi"/>
          <w:sz w:val="20"/>
          <w:szCs w:val="20"/>
        </w:rPr>
      </w:pPr>
    </w:p>
    <w:p w:rsidR="003E33D4" w:rsidRDefault="003E33D4">
      <w:pPr>
        <w:rPr>
          <w:rFonts w:asciiTheme="majorHAnsi" w:hAnsiTheme="majorHAnsi"/>
          <w:sz w:val="20"/>
          <w:szCs w:val="20"/>
        </w:rPr>
      </w:pPr>
    </w:p>
    <w:p w:rsidR="003E33D4" w:rsidRDefault="003E33D4">
      <w:pPr>
        <w:rPr>
          <w:rFonts w:asciiTheme="majorHAnsi" w:hAnsiTheme="majorHAnsi"/>
          <w:sz w:val="20"/>
          <w:szCs w:val="20"/>
        </w:rPr>
      </w:pPr>
    </w:p>
    <w:p w:rsidR="003E33D4" w:rsidRDefault="003E33D4">
      <w:pPr>
        <w:rPr>
          <w:rFonts w:asciiTheme="majorHAnsi" w:hAnsiTheme="majorHAnsi"/>
          <w:sz w:val="20"/>
          <w:szCs w:val="20"/>
        </w:rPr>
      </w:pPr>
    </w:p>
    <w:tbl>
      <w:tblPr>
        <w:tblStyle w:val="TableGrid"/>
        <w:tblW w:w="0" w:type="auto"/>
        <w:tblLook w:val="04A0" w:firstRow="1" w:lastRow="0" w:firstColumn="1" w:lastColumn="0" w:noHBand="0" w:noVBand="1"/>
      </w:tblPr>
      <w:tblGrid>
        <w:gridCol w:w="4077"/>
        <w:gridCol w:w="6605"/>
      </w:tblGrid>
      <w:tr w:rsidR="003E33D4" w:rsidTr="003E33D4">
        <w:tc>
          <w:tcPr>
            <w:tcW w:w="4077" w:type="dxa"/>
          </w:tcPr>
          <w:p w:rsidR="003E33D4" w:rsidRPr="003E33D4" w:rsidRDefault="003E33D4" w:rsidP="003E33D4">
            <w:pPr>
              <w:jc w:val="center"/>
              <w:rPr>
                <w:b/>
                <w:sz w:val="20"/>
                <w:szCs w:val="20"/>
              </w:rPr>
            </w:pPr>
            <w:r w:rsidRPr="003E33D4">
              <w:rPr>
                <w:b/>
                <w:sz w:val="20"/>
                <w:szCs w:val="20"/>
              </w:rPr>
              <w:t>Teacher’s Activity</w:t>
            </w:r>
          </w:p>
        </w:tc>
        <w:tc>
          <w:tcPr>
            <w:tcW w:w="6605" w:type="dxa"/>
          </w:tcPr>
          <w:p w:rsidR="003E33D4" w:rsidRPr="003E33D4" w:rsidRDefault="003E33D4" w:rsidP="003E33D4">
            <w:pPr>
              <w:jc w:val="center"/>
              <w:rPr>
                <w:b/>
                <w:sz w:val="20"/>
                <w:szCs w:val="20"/>
              </w:rPr>
            </w:pPr>
            <w:r w:rsidRPr="003E33D4">
              <w:rPr>
                <w:b/>
                <w:sz w:val="20"/>
                <w:szCs w:val="20"/>
              </w:rPr>
              <w:t>Learners’ Activity</w:t>
            </w:r>
          </w:p>
        </w:tc>
      </w:tr>
      <w:tr w:rsidR="003E33D4" w:rsidTr="003E33D4">
        <w:tc>
          <w:tcPr>
            <w:tcW w:w="4077" w:type="dxa"/>
          </w:tcPr>
          <w:p w:rsidR="003E33D4" w:rsidRPr="003E33D4" w:rsidRDefault="003E33D4" w:rsidP="001B6370">
            <w:pPr>
              <w:rPr>
                <w:rFonts w:asciiTheme="majorHAnsi" w:hAnsiTheme="majorHAnsi"/>
                <w:b/>
                <w:sz w:val="20"/>
                <w:szCs w:val="20"/>
              </w:rPr>
            </w:pPr>
            <w:r>
              <w:t xml:space="preserve">Explain to </w:t>
            </w:r>
            <w:r w:rsidR="001B6370">
              <w:t>learner</w:t>
            </w:r>
            <w:r>
              <w:t>s that the film they are going to watch was made in 1998 and filming took place during one of the deadliest years in Everest’s history – 1996.</w:t>
            </w:r>
          </w:p>
        </w:tc>
        <w:tc>
          <w:tcPr>
            <w:tcW w:w="6605" w:type="dxa"/>
          </w:tcPr>
          <w:p w:rsidR="003E33D4" w:rsidRDefault="003E33D4" w:rsidP="003E33D4">
            <w:r>
              <w:t xml:space="preserve">Gaining an understanding of the context of the film. </w:t>
            </w:r>
          </w:p>
          <w:p w:rsidR="003E33D4" w:rsidRDefault="003E33D4" w:rsidP="003E33D4">
            <w:r>
              <w:rPr>
                <w:noProof/>
                <w:lang w:val="en-US"/>
              </w:rPr>
              <w:drawing>
                <wp:inline distT="0" distB="0" distL="0" distR="0" wp14:anchorId="350B7E85" wp14:editId="15017F53">
                  <wp:extent cx="1024188" cy="1456661"/>
                  <wp:effectExtent l="0" t="0" r="5080" b="0"/>
                  <wp:docPr id="1" name="Picture 1" descr="http://www.mountainsoftravelphotos.com/ReferenceImagesF/IMAX%20Everest%20DV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untainsoftravelphotos.com/ReferenceImagesF/IMAX%20Everest%20DV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4134" cy="1456584"/>
                          </a:xfrm>
                          <a:prstGeom prst="rect">
                            <a:avLst/>
                          </a:prstGeom>
                          <a:noFill/>
                          <a:ln>
                            <a:noFill/>
                          </a:ln>
                        </pic:spPr>
                      </pic:pic>
                    </a:graphicData>
                  </a:graphic>
                </wp:inline>
              </w:drawing>
            </w:r>
          </w:p>
          <w:p w:rsidR="003E33D4" w:rsidRDefault="003E33D4" w:rsidP="003E33D4">
            <w:pPr>
              <w:jc w:val="center"/>
              <w:rPr>
                <w:rFonts w:asciiTheme="majorHAnsi" w:hAnsiTheme="majorHAnsi"/>
                <w:b/>
                <w:sz w:val="20"/>
                <w:szCs w:val="20"/>
              </w:rPr>
            </w:pPr>
          </w:p>
        </w:tc>
      </w:tr>
      <w:tr w:rsidR="003E33D4" w:rsidTr="003E33D4">
        <w:tc>
          <w:tcPr>
            <w:tcW w:w="4077" w:type="dxa"/>
          </w:tcPr>
          <w:p w:rsidR="003E33D4" w:rsidRDefault="001B6370" w:rsidP="003E33D4">
            <w:r>
              <w:t>Draw learners</w:t>
            </w:r>
            <w:r w:rsidR="003E33D4">
              <w:t>’ attention to significant moments in the film.</w:t>
            </w:r>
          </w:p>
          <w:p w:rsidR="003E33D4" w:rsidRDefault="003E33D4" w:rsidP="003E33D4"/>
          <w:p w:rsidR="003E33D4" w:rsidRDefault="003E33D4" w:rsidP="003E33D4">
            <w:r>
              <w:t xml:space="preserve">Ask </w:t>
            </w:r>
            <w:r w:rsidR="001B6370">
              <w:t>learner</w:t>
            </w:r>
            <w:r>
              <w:t>s to share the questions that have.</w:t>
            </w:r>
          </w:p>
          <w:p w:rsidR="003E33D4" w:rsidRDefault="003E33D4" w:rsidP="003E33D4"/>
        </w:tc>
        <w:tc>
          <w:tcPr>
            <w:tcW w:w="6605" w:type="dxa"/>
          </w:tcPr>
          <w:p w:rsidR="003E33D4" w:rsidRDefault="003E33D4" w:rsidP="003E33D4">
            <w:r>
              <w:t>Watching ‘Everest’ and making a list of questions in exercise books as they watch.</w:t>
            </w:r>
          </w:p>
          <w:p w:rsidR="003E33D4" w:rsidRDefault="003E33D4" w:rsidP="003E33D4">
            <w:pPr>
              <w:pStyle w:val="ListParagraph"/>
            </w:pPr>
          </w:p>
          <w:p w:rsidR="003E33D4" w:rsidRDefault="001B6370" w:rsidP="003E33D4">
            <w:r>
              <w:t xml:space="preserve">Learners </w:t>
            </w:r>
            <w:r w:rsidR="003E33D4">
              <w:t>engage in discussion about the film through sharing their questions with others.</w:t>
            </w:r>
          </w:p>
        </w:tc>
      </w:tr>
      <w:tr w:rsidR="003E33D4" w:rsidTr="003E33D4">
        <w:tc>
          <w:tcPr>
            <w:tcW w:w="4077" w:type="dxa"/>
          </w:tcPr>
          <w:p w:rsidR="003E33D4" w:rsidRDefault="003E33D4" w:rsidP="003E33D4"/>
        </w:tc>
        <w:tc>
          <w:tcPr>
            <w:tcW w:w="6605" w:type="dxa"/>
          </w:tcPr>
          <w:p w:rsidR="003E33D4" w:rsidRDefault="003E33D4" w:rsidP="003E33D4">
            <w:pPr>
              <w:rPr>
                <w:b/>
              </w:rPr>
            </w:pPr>
            <w:r w:rsidRPr="003E33D4">
              <w:rPr>
                <w:b/>
              </w:rPr>
              <w:t xml:space="preserve">Homework </w:t>
            </w:r>
          </w:p>
          <w:p w:rsidR="003E33D4" w:rsidRPr="00A43082" w:rsidRDefault="003E33D4" w:rsidP="00A43082">
            <w:pPr>
              <w:rPr>
                <w:b/>
              </w:rPr>
            </w:pPr>
            <w:r>
              <w:t>Summarise the purpose of each camp</w:t>
            </w:r>
            <w:r w:rsidR="00A43082">
              <w:t xml:space="preserve"> </w:t>
            </w:r>
            <w:r>
              <w:t>on route to Everest’s summit.</w:t>
            </w:r>
          </w:p>
          <w:p w:rsidR="003E33D4" w:rsidRDefault="003E33D4" w:rsidP="00A43082">
            <w:pPr>
              <w:jc w:val="both"/>
            </w:pPr>
            <w:r>
              <w:t>Using a multi-flow map, explain the</w:t>
            </w:r>
            <w:r w:rsidR="00A43082">
              <w:t xml:space="preserve"> </w:t>
            </w:r>
            <w:r>
              <w:t>causes and effects of altitude sickness</w:t>
            </w:r>
            <w:r w:rsidR="00A43082">
              <w:t xml:space="preserve">. </w:t>
            </w:r>
          </w:p>
        </w:tc>
      </w:tr>
      <w:tr w:rsidR="00A43082" w:rsidTr="003E33D4">
        <w:tc>
          <w:tcPr>
            <w:tcW w:w="4077" w:type="dxa"/>
          </w:tcPr>
          <w:p w:rsidR="00A43082" w:rsidRDefault="00A43082" w:rsidP="00A43082">
            <w:r>
              <w:t xml:space="preserve">Draw </w:t>
            </w:r>
            <w:r w:rsidR="001B6370">
              <w:t>learners</w:t>
            </w:r>
            <w:r>
              <w:t xml:space="preserve">’ attention to significant moments in the episode. </w:t>
            </w:r>
          </w:p>
          <w:p w:rsidR="00A43082" w:rsidRDefault="00A43082" w:rsidP="00A43082"/>
          <w:p w:rsidR="00A43082" w:rsidRDefault="00A43082" w:rsidP="00A43082">
            <w:r>
              <w:t xml:space="preserve">Explain the life of the Sherpa people and their involvement with the mountain. </w:t>
            </w:r>
            <w:r>
              <w:rPr>
                <w:b/>
              </w:rPr>
              <w:t>(top only)</w:t>
            </w:r>
          </w:p>
        </w:tc>
        <w:tc>
          <w:tcPr>
            <w:tcW w:w="6605" w:type="dxa"/>
          </w:tcPr>
          <w:p w:rsidR="00A43082" w:rsidRDefault="00A43082" w:rsidP="00A43082">
            <w:r>
              <w:t xml:space="preserve">Watching ‘Everest Beyond the Limit’ Season 2 episode 1. </w:t>
            </w:r>
          </w:p>
          <w:p w:rsidR="00A43082" w:rsidRPr="00A43082" w:rsidRDefault="001B6370" w:rsidP="00A43082">
            <w:pPr>
              <w:rPr>
                <w:b/>
              </w:rPr>
            </w:pPr>
            <w:hyperlink r:id="rId9" w:history="1">
              <w:r w:rsidR="00A43082" w:rsidRPr="003A4DEF">
                <w:rPr>
                  <w:rStyle w:val="Hyperlink"/>
                </w:rPr>
                <w:t>http://www.youtube.com/watch?v=R2qIQ7gbTLA</w:t>
              </w:r>
            </w:hyperlink>
            <w:r w:rsidR="00A43082">
              <w:t xml:space="preserve"> </w:t>
            </w:r>
            <w:r w:rsidR="00A43082" w:rsidRPr="00A43082">
              <w:rPr>
                <w:b/>
              </w:rPr>
              <w:t>(middle and bottom only)</w:t>
            </w:r>
          </w:p>
          <w:p w:rsidR="00A43082" w:rsidRDefault="00A43082" w:rsidP="00A43082">
            <w:pPr>
              <w:pStyle w:val="ListParagraph"/>
              <w:rPr>
                <w:b/>
              </w:rPr>
            </w:pPr>
          </w:p>
          <w:p w:rsidR="00A43082" w:rsidRDefault="001B6370" w:rsidP="00A43082">
            <w:r>
              <w:t xml:space="preserve">Learners </w:t>
            </w:r>
            <w:r w:rsidR="00A43082">
              <w:t>engage in discussion about the film through sharing their questions with others.</w:t>
            </w:r>
          </w:p>
          <w:p w:rsidR="00A43082" w:rsidRDefault="00A43082" w:rsidP="00A43082">
            <w:pPr>
              <w:pStyle w:val="ListParagraph"/>
            </w:pPr>
          </w:p>
          <w:p w:rsidR="00A43082" w:rsidRPr="00A43082" w:rsidRDefault="00A43082" w:rsidP="00A43082">
            <w:pPr>
              <w:rPr>
                <w:color w:val="0070C0"/>
              </w:rPr>
            </w:pPr>
            <w:r>
              <w:t>W</w:t>
            </w:r>
            <w:r w:rsidRPr="00FB0628">
              <w:t xml:space="preserve">atching </w:t>
            </w:r>
            <w:proofErr w:type="spellStart"/>
            <w:r w:rsidRPr="00FB0628">
              <w:t>Sherpas</w:t>
            </w:r>
            <w:proofErr w:type="spellEnd"/>
            <w:r w:rsidRPr="00FB0628">
              <w:t xml:space="preserve">’ burden </w:t>
            </w:r>
            <w:r w:rsidRPr="00A43082">
              <w:rPr>
                <w:b/>
              </w:rPr>
              <w:t xml:space="preserve">(top only) </w:t>
            </w:r>
            <w:r>
              <w:t xml:space="preserve"> </w:t>
            </w:r>
            <w:hyperlink r:id="rId10" w:history="1">
              <w:r w:rsidRPr="00A43082">
                <w:rPr>
                  <w:rStyle w:val="Hyperlink"/>
                  <w:b/>
                </w:rPr>
                <w:t>http://www.youtube.com/watch?v=l4vx_E88x0M</w:t>
              </w:r>
            </w:hyperlink>
            <w:r w:rsidRPr="00A43082">
              <w:rPr>
                <w:b/>
              </w:rPr>
              <w:t xml:space="preserve"> </w:t>
            </w:r>
          </w:p>
          <w:p w:rsidR="00A43082" w:rsidRPr="00C81B55" w:rsidRDefault="00A43082" w:rsidP="00A43082">
            <w:pPr>
              <w:pStyle w:val="ListParagraph"/>
              <w:rPr>
                <w:color w:val="0070C0"/>
              </w:rPr>
            </w:pPr>
          </w:p>
          <w:p w:rsidR="00A43082" w:rsidRPr="00C81B55" w:rsidRDefault="00A43082" w:rsidP="00A43082">
            <w:pPr>
              <w:rPr>
                <w:color w:val="0070C0"/>
              </w:rPr>
            </w:pPr>
          </w:p>
          <w:p w:rsidR="00A43082" w:rsidRPr="00A43082" w:rsidRDefault="00A43082" w:rsidP="00A43082">
            <w:pPr>
              <w:rPr>
                <w:color w:val="0070C0"/>
              </w:rPr>
            </w:pPr>
            <w:r>
              <w:t xml:space="preserve">Watching </w:t>
            </w:r>
            <w:proofErr w:type="spellStart"/>
            <w:r>
              <w:t>Sherpas</w:t>
            </w:r>
            <w:proofErr w:type="spellEnd"/>
            <w:r>
              <w:t xml:space="preserve">, the true heroes of Mount Everest </w:t>
            </w:r>
            <w:r w:rsidRPr="00A43082">
              <w:rPr>
                <w:b/>
              </w:rPr>
              <w:t>(top only)</w:t>
            </w:r>
          </w:p>
          <w:p w:rsidR="00A43082" w:rsidRPr="00FB0628" w:rsidRDefault="00A43082" w:rsidP="00A43082">
            <w:pPr>
              <w:pStyle w:val="ListParagraph"/>
              <w:rPr>
                <w:color w:val="0070C0"/>
              </w:rPr>
            </w:pPr>
          </w:p>
          <w:p w:rsidR="00A43082" w:rsidRDefault="001B6370" w:rsidP="00A43082">
            <w:r>
              <w:t>Learners</w:t>
            </w:r>
            <w:r w:rsidR="00A43082">
              <w:t xml:space="preserve"> engage in discussion about the film through sharing their questions with others.</w:t>
            </w:r>
          </w:p>
          <w:p w:rsidR="00A43082" w:rsidRPr="00A43082" w:rsidRDefault="00A43082" w:rsidP="00A43082">
            <w:pPr>
              <w:rPr>
                <w:b/>
              </w:rPr>
            </w:pPr>
          </w:p>
        </w:tc>
      </w:tr>
      <w:tr w:rsidR="00A43082" w:rsidTr="003E33D4">
        <w:tc>
          <w:tcPr>
            <w:tcW w:w="4077" w:type="dxa"/>
          </w:tcPr>
          <w:p w:rsidR="00A43082" w:rsidRDefault="00A43082" w:rsidP="00A43082"/>
        </w:tc>
        <w:tc>
          <w:tcPr>
            <w:tcW w:w="6605" w:type="dxa"/>
          </w:tcPr>
          <w:p w:rsidR="00A43082" w:rsidRPr="00A43082" w:rsidRDefault="00A43082" w:rsidP="00A43082">
            <w:pPr>
              <w:rPr>
                <w:b/>
              </w:rPr>
            </w:pPr>
            <w:r w:rsidRPr="00A43082">
              <w:rPr>
                <w:b/>
              </w:rPr>
              <w:t>Homework</w:t>
            </w:r>
          </w:p>
          <w:p w:rsidR="00A43082" w:rsidRDefault="00A43082" w:rsidP="00A43082">
            <w:r>
              <w:t xml:space="preserve">Proof reading exercise one. </w:t>
            </w:r>
          </w:p>
          <w:p w:rsidR="00A43082" w:rsidRDefault="00A43082" w:rsidP="00A43082"/>
        </w:tc>
      </w:tr>
      <w:tr w:rsidR="00A43082" w:rsidTr="003E33D4">
        <w:tc>
          <w:tcPr>
            <w:tcW w:w="4077" w:type="dxa"/>
          </w:tcPr>
          <w:p w:rsidR="00A43082" w:rsidRDefault="00A43082" w:rsidP="001B6370">
            <w:r>
              <w:t xml:space="preserve">Read articles with </w:t>
            </w:r>
            <w:r w:rsidR="001B6370">
              <w:t>learners</w:t>
            </w:r>
            <w:r>
              <w:t xml:space="preserve">, using a range of note taking skills and thinking maps to ensure that </w:t>
            </w:r>
            <w:r w:rsidR="001B6370">
              <w:t>learner</w:t>
            </w:r>
            <w:r>
              <w:t>s have a full understanding of the documents they have read. It is up to you to decide how best your class will access the documents and gather a full understanding of them,</w:t>
            </w:r>
            <w:r w:rsidR="001B6370">
              <w:t xml:space="preserve"> </w:t>
            </w:r>
            <w:proofErr w:type="gramStart"/>
            <w:r w:rsidR="001B6370">
              <w:t xml:space="preserve">learners </w:t>
            </w:r>
            <w:r>
              <w:t xml:space="preserve"> should</w:t>
            </w:r>
            <w:proofErr w:type="gramEnd"/>
            <w:r>
              <w:t xml:space="preserve"> use the SQ4R skills where </w:t>
            </w:r>
            <w:r>
              <w:lastRenderedPageBreak/>
              <w:t>appropriate but the documents are deliberately challenging, so support will be needed. They are quite long documents so will need to be broken up and varied learning techniques and activities used.</w:t>
            </w:r>
          </w:p>
        </w:tc>
        <w:tc>
          <w:tcPr>
            <w:tcW w:w="6605" w:type="dxa"/>
          </w:tcPr>
          <w:p w:rsidR="00A43082" w:rsidRPr="004A0F21" w:rsidRDefault="00A43082" w:rsidP="00A43082">
            <w:r>
              <w:lastRenderedPageBreak/>
              <w:t>‘</w:t>
            </w:r>
            <w:proofErr w:type="spellStart"/>
            <w:r>
              <w:t>Sherpas</w:t>
            </w:r>
            <w:proofErr w:type="spellEnd"/>
            <w:r>
              <w:t xml:space="preserve">: The Invisible Men of Everest’ </w:t>
            </w:r>
            <w:r w:rsidRPr="00A43082">
              <w:rPr>
                <w:b/>
              </w:rPr>
              <w:t>(top only)</w:t>
            </w:r>
          </w:p>
          <w:p w:rsidR="00A43082" w:rsidRPr="004A0F21" w:rsidRDefault="00A43082" w:rsidP="00A43082">
            <w:r>
              <w:t xml:space="preserve">‘Climbing Everest is the peak of hubris’ </w:t>
            </w:r>
            <w:r w:rsidRPr="00A43082">
              <w:rPr>
                <w:b/>
              </w:rPr>
              <w:t>(this is an extension article and should be offered to top set to be read in their own time)</w:t>
            </w:r>
          </w:p>
          <w:p w:rsidR="00A43082" w:rsidRPr="004A0F21" w:rsidRDefault="00A43082" w:rsidP="00A43082">
            <w:r>
              <w:t xml:space="preserve">‘Maxed out on Everest’ </w:t>
            </w:r>
            <w:r w:rsidRPr="00A43082">
              <w:rPr>
                <w:b/>
              </w:rPr>
              <w:t>(middle only)</w:t>
            </w:r>
          </w:p>
          <w:p w:rsidR="00A43082" w:rsidRPr="004A0F21" w:rsidRDefault="00A43082" w:rsidP="00A43082">
            <w:r>
              <w:t xml:space="preserve">‘Mount Everest’s Filthy Secret’ </w:t>
            </w:r>
            <w:r w:rsidRPr="00A43082">
              <w:rPr>
                <w:b/>
              </w:rPr>
              <w:t>(bottom only)</w:t>
            </w:r>
          </w:p>
          <w:p w:rsidR="00A43082" w:rsidRDefault="00A43082" w:rsidP="00A43082">
            <w:r>
              <w:t xml:space="preserve">‘Mount Everest litter targeted by Nepalese authorities’ </w:t>
            </w:r>
            <w:r w:rsidRPr="00A43082">
              <w:rPr>
                <w:b/>
              </w:rPr>
              <w:t>(bottom only)</w:t>
            </w:r>
          </w:p>
          <w:p w:rsidR="00A43082" w:rsidRPr="00A43082" w:rsidRDefault="00A43082" w:rsidP="00A43082">
            <w:pPr>
              <w:rPr>
                <w:b/>
              </w:rPr>
            </w:pPr>
          </w:p>
        </w:tc>
      </w:tr>
      <w:tr w:rsidR="00A43082" w:rsidTr="003E33D4">
        <w:tc>
          <w:tcPr>
            <w:tcW w:w="4077" w:type="dxa"/>
          </w:tcPr>
          <w:p w:rsidR="00A43082" w:rsidRDefault="001B6370" w:rsidP="00A43082">
            <w:r>
              <w:lastRenderedPageBreak/>
              <w:t>Learners</w:t>
            </w:r>
            <w:r w:rsidR="00A43082">
              <w:t xml:space="preserve"> will now go on to answer the questions on the article(s) they have read. There are a variety of question types and you should go through what is required in each question before </w:t>
            </w:r>
            <w:r>
              <w:t>learners</w:t>
            </w:r>
            <w:r w:rsidR="00A43082">
              <w:t xml:space="preserve"> answer them. It is then up to you how you want to conduct the activity – as a mini test (there is no grading), individual activity, class activity etc.</w:t>
            </w:r>
          </w:p>
        </w:tc>
        <w:tc>
          <w:tcPr>
            <w:tcW w:w="6605" w:type="dxa"/>
          </w:tcPr>
          <w:p w:rsidR="00A43082" w:rsidRDefault="001B6370" w:rsidP="00A43082">
            <w:r>
              <w:t>Learners</w:t>
            </w:r>
            <w:r w:rsidR="00A43082">
              <w:t xml:space="preserve"> will be using the articles and the notes that they have made to answer a variety of questions. The questions cover a range of reading skills and pose differing levels of challenge for </w:t>
            </w:r>
            <w:r>
              <w:t>learners</w:t>
            </w:r>
            <w:r w:rsidR="00A43082">
              <w:t xml:space="preserve">. </w:t>
            </w:r>
          </w:p>
          <w:p w:rsidR="00A43082" w:rsidRDefault="00A43082" w:rsidP="00A43082"/>
        </w:tc>
      </w:tr>
      <w:tr w:rsidR="00A43082" w:rsidTr="003E33D4">
        <w:tc>
          <w:tcPr>
            <w:tcW w:w="4077" w:type="dxa"/>
          </w:tcPr>
          <w:p w:rsidR="00A43082" w:rsidRDefault="00A43082" w:rsidP="00A43082"/>
        </w:tc>
        <w:tc>
          <w:tcPr>
            <w:tcW w:w="6605" w:type="dxa"/>
          </w:tcPr>
          <w:p w:rsidR="00A43082" w:rsidRPr="00A43082" w:rsidRDefault="00A43082" w:rsidP="00A43082">
            <w:pPr>
              <w:rPr>
                <w:b/>
              </w:rPr>
            </w:pPr>
            <w:r w:rsidRPr="00A43082">
              <w:rPr>
                <w:b/>
              </w:rPr>
              <w:t>Homework</w:t>
            </w:r>
          </w:p>
          <w:p w:rsidR="00A43082" w:rsidRDefault="00A43082" w:rsidP="00A43082">
            <w:r>
              <w:t>Proof reading exercise two.</w:t>
            </w:r>
          </w:p>
        </w:tc>
      </w:tr>
      <w:tr w:rsidR="006A137F" w:rsidTr="003E33D4">
        <w:tc>
          <w:tcPr>
            <w:tcW w:w="4077" w:type="dxa"/>
          </w:tcPr>
          <w:p w:rsidR="006A137F" w:rsidRDefault="006A137F" w:rsidP="006A137F">
            <w:r>
              <w:t xml:space="preserve">Work through the questions with </w:t>
            </w:r>
            <w:r w:rsidR="001B6370">
              <w:t>learners</w:t>
            </w:r>
            <w:r>
              <w:t xml:space="preserve">, explaining the different question types and reading skills they require. </w:t>
            </w:r>
            <w:r w:rsidR="001B6370">
              <w:t>Learners</w:t>
            </w:r>
            <w:r>
              <w:t xml:space="preserve"> should be introduced to the following:</w:t>
            </w:r>
          </w:p>
          <w:p w:rsidR="006A137F" w:rsidRDefault="006A137F" w:rsidP="006A137F">
            <w:pPr>
              <w:pStyle w:val="ListParagraph"/>
              <w:numPr>
                <w:ilvl w:val="0"/>
                <w:numId w:val="14"/>
              </w:numPr>
            </w:pPr>
            <w:r>
              <w:t>Access and retrieve</w:t>
            </w:r>
          </w:p>
          <w:p w:rsidR="006A137F" w:rsidRDefault="006A137F" w:rsidP="006A137F">
            <w:pPr>
              <w:pStyle w:val="ListParagraph"/>
              <w:numPr>
                <w:ilvl w:val="0"/>
                <w:numId w:val="14"/>
              </w:numPr>
            </w:pPr>
            <w:r>
              <w:t>Integrate and interpret</w:t>
            </w:r>
          </w:p>
          <w:p w:rsidR="006A137F" w:rsidRDefault="006A137F" w:rsidP="006A137F">
            <w:pPr>
              <w:pStyle w:val="ListParagraph"/>
              <w:numPr>
                <w:ilvl w:val="0"/>
                <w:numId w:val="14"/>
              </w:numPr>
            </w:pPr>
            <w:r>
              <w:t>Reflect and evaluate</w:t>
            </w:r>
          </w:p>
          <w:p w:rsidR="006A137F" w:rsidRDefault="006A137F" w:rsidP="006A137F">
            <w:r>
              <w:t>If needed, go back and complete longer questions as a class and/or for homework.</w:t>
            </w:r>
          </w:p>
        </w:tc>
        <w:tc>
          <w:tcPr>
            <w:tcW w:w="6605" w:type="dxa"/>
          </w:tcPr>
          <w:p w:rsidR="006A137F" w:rsidRPr="00A43082" w:rsidRDefault="001B6370" w:rsidP="00A43082">
            <w:pPr>
              <w:rPr>
                <w:b/>
              </w:rPr>
            </w:pPr>
            <w:r>
              <w:t>Learners</w:t>
            </w:r>
            <w:r w:rsidR="006A137F">
              <w:t xml:space="preserve"> will be aware of the skills they have used when answering the questions.</w:t>
            </w:r>
          </w:p>
        </w:tc>
      </w:tr>
      <w:tr w:rsidR="001C33F2" w:rsidTr="00B02786">
        <w:tc>
          <w:tcPr>
            <w:tcW w:w="10682" w:type="dxa"/>
            <w:gridSpan w:val="2"/>
          </w:tcPr>
          <w:p w:rsidR="001C33F2" w:rsidRDefault="001C33F2" w:rsidP="001C33F2">
            <w:pPr>
              <w:jc w:val="center"/>
            </w:pPr>
            <w:r>
              <w:rPr>
                <w:b/>
              </w:rPr>
              <w:t>FLAP</w:t>
            </w:r>
          </w:p>
        </w:tc>
      </w:tr>
      <w:tr w:rsidR="006A137F" w:rsidTr="003E33D4">
        <w:tc>
          <w:tcPr>
            <w:tcW w:w="4077" w:type="dxa"/>
          </w:tcPr>
          <w:p w:rsidR="006A137F" w:rsidRDefault="006A137F" w:rsidP="006A137F">
            <w:r>
              <w:t xml:space="preserve">Introduce </w:t>
            </w:r>
            <w:r w:rsidR="001B6370">
              <w:t>learners</w:t>
            </w:r>
            <w:r>
              <w:t xml:space="preserve"> to the FLAP acronym and FLAP place mat, explaining what each term means and how it can be identified in texts.</w:t>
            </w:r>
          </w:p>
        </w:tc>
        <w:tc>
          <w:tcPr>
            <w:tcW w:w="6605" w:type="dxa"/>
          </w:tcPr>
          <w:p w:rsidR="006A137F" w:rsidRDefault="001B6370" w:rsidP="00A43082">
            <w:r>
              <w:t>Learners</w:t>
            </w:r>
            <w:r w:rsidR="006A137F">
              <w:t xml:space="preserve"> will be familiar with how texts are classified and how purpose and audience can be identified.</w:t>
            </w:r>
          </w:p>
          <w:p w:rsidR="001C33F2" w:rsidRDefault="001C33F2" w:rsidP="00A43082"/>
        </w:tc>
      </w:tr>
      <w:tr w:rsidR="001C33F2" w:rsidTr="003831B1">
        <w:tc>
          <w:tcPr>
            <w:tcW w:w="10682" w:type="dxa"/>
            <w:gridSpan w:val="2"/>
          </w:tcPr>
          <w:p w:rsidR="001C33F2" w:rsidRDefault="001C33F2" w:rsidP="001C33F2">
            <w:pPr>
              <w:jc w:val="center"/>
            </w:pPr>
            <w:r>
              <w:rPr>
                <w:b/>
              </w:rPr>
              <w:t>LANGUAGE AND AUDIENCE</w:t>
            </w:r>
          </w:p>
        </w:tc>
      </w:tr>
      <w:tr w:rsidR="006A137F" w:rsidTr="003E33D4">
        <w:tc>
          <w:tcPr>
            <w:tcW w:w="4077" w:type="dxa"/>
          </w:tcPr>
          <w:p w:rsidR="006A137F" w:rsidRDefault="006A137F" w:rsidP="006A137F">
            <w:r>
              <w:t xml:space="preserve">Put </w:t>
            </w:r>
            <w:r w:rsidR="001B6370">
              <w:t>learners</w:t>
            </w:r>
            <w:r>
              <w:t xml:space="preserve"> into pairs and give each pair a scenario card, explaining that they should read the instructions on the card and carry them out when you start the timer. Each card will contain a scenario that requires either formal or informal language to be used. </w:t>
            </w:r>
            <w:r w:rsidR="001B6370">
              <w:t>Learners</w:t>
            </w:r>
            <w:r>
              <w:t xml:space="preserve"> will role play these scenarios for 5 minutes</w:t>
            </w:r>
          </w:p>
        </w:tc>
        <w:tc>
          <w:tcPr>
            <w:tcW w:w="6605" w:type="dxa"/>
          </w:tcPr>
          <w:p w:rsidR="006A137F" w:rsidRDefault="001B6370" w:rsidP="00A43082">
            <w:r>
              <w:t>Learners</w:t>
            </w:r>
            <w:r w:rsidR="006A137F">
              <w:t xml:space="preserve"> will be involved in the role play scenarios and adapting their language based on the scenario.</w:t>
            </w:r>
          </w:p>
        </w:tc>
      </w:tr>
      <w:tr w:rsidR="006A137F" w:rsidTr="003E33D4">
        <w:tc>
          <w:tcPr>
            <w:tcW w:w="4077" w:type="dxa"/>
          </w:tcPr>
          <w:p w:rsidR="006A137F" w:rsidRDefault="006A137F" w:rsidP="006A137F">
            <w:r>
              <w:t xml:space="preserve">Feedback from task, asking </w:t>
            </w:r>
            <w:r w:rsidR="001B6370">
              <w:t>learners</w:t>
            </w:r>
            <w:r>
              <w:t xml:space="preserve"> to relay a few of the sentences or phrases that they used during their role play.  After the feedback is given, select one formal and one informal scenario and ask </w:t>
            </w:r>
            <w:r w:rsidR="001B6370">
              <w:t>learners</w:t>
            </w:r>
            <w:r>
              <w:t xml:space="preserve"> to identify the differences between the two, guiding them to talk about the language used.</w:t>
            </w:r>
          </w:p>
        </w:tc>
        <w:tc>
          <w:tcPr>
            <w:tcW w:w="6605" w:type="dxa"/>
          </w:tcPr>
          <w:p w:rsidR="006A137F" w:rsidRDefault="001B6370" w:rsidP="00A43082">
            <w:r>
              <w:t>Learners</w:t>
            </w:r>
            <w:r w:rsidR="006A137F">
              <w:t xml:space="preserve"> will be made aware of situations that require formal and informal language.</w:t>
            </w:r>
          </w:p>
        </w:tc>
      </w:tr>
      <w:tr w:rsidR="006A137F" w:rsidTr="003E33D4">
        <w:tc>
          <w:tcPr>
            <w:tcW w:w="4077" w:type="dxa"/>
          </w:tcPr>
          <w:p w:rsidR="006A137F" w:rsidRDefault="006A137F" w:rsidP="006A137F">
            <w:r>
              <w:t xml:space="preserve">Ask </w:t>
            </w:r>
            <w:r w:rsidR="001B6370">
              <w:t>learners</w:t>
            </w:r>
            <w:r>
              <w:t xml:space="preserve"> to identify written examples of the use of formal and informal </w:t>
            </w:r>
            <w:r>
              <w:lastRenderedPageBreak/>
              <w:t>language.</w:t>
            </w:r>
          </w:p>
        </w:tc>
        <w:tc>
          <w:tcPr>
            <w:tcW w:w="6605" w:type="dxa"/>
          </w:tcPr>
          <w:p w:rsidR="006A137F" w:rsidRDefault="001B6370" w:rsidP="00A43082">
            <w:r>
              <w:lastRenderedPageBreak/>
              <w:t>Learners</w:t>
            </w:r>
            <w:r w:rsidR="006A137F">
              <w:t xml:space="preserve"> will offer suggestions, transferring what they have seen in the role plays to a written context.</w:t>
            </w:r>
          </w:p>
        </w:tc>
      </w:tr>
      <w:tr w:rsidR="001C33F2" w:rsidTr="003E33D4">
        <w:tc>
          <w:tcPr>
            <w:tcW w:w="4077" w:type="dxa"/>
          </w:tcPr>
          <w:p w:rsidR="001C33F2" w:rsidRDefault="001C33F2" w:rsidP="006A137F">
            <w:r>
              <w:lastRenderedPageBreak/>
              <w:t xml:space="preserve">Split the class into groups of ten and give each group a copy of the ‘informal and formal language’ cards and ask </w:t>
            </w:r>
            <w:r w:rsidR="001B6370">
              <w:t>learners</w:t>
            </w:r>
            <w:r>
              <w:t xml:space="preserve"> to form a line with the cards with ‘informal’ at one end and ‘formal’ at the other.  </w:t>
            </w:r>
          </w:p>
        </w:tc>
        <w:tc>
          <w:tcPr>
            <w:tcW w:w="6605" w:type="dxa"/>
          </w:tcPr>
          <w:p w:rsidR="001C33F2" w:rsidRDefault="001B6370" w:rsidP="00A43082">
            <w:r>
              <w:t>Learners</w:t>
            </w:r>
            <w:r w:rsidR="001C33F2">
              <w:t xml:space="preserve"> will think about the degrees of formality needed in writing and identify when informal and formal language is used.</w:t>
            </w:r>
          </w:p>
        </w:tc>
      </w:tr>
      <w:tr w:rsidR="001C33F2" w:rsidTr="003E33D4">
        <w:tc>
          <w:tcPr>
            <w:tcW w:w="4077" w:type="dxa"/>
          </w:tcPr>
          <w:p w:rsidR="001C33F2" w:rsidRDefault="001C33F2" w:rsidP="006A137F">
            <w:r>
              <w:t xml:space="preserve">Discuss </w:t>
            </w:r>
            <w:r w:rsidR="001B6370">
              <w:t>learners</w:t>
            </w:r>
            <w:r>
              <w:t>’ decisions.</w:t>
            </w:r>
          </w:p>
        </w:tc>
        <w:tc>
          <w:tcPr>
            <w:tcW w:w="6605" w:type="dxa"/>
          </w:tcPr>
          <w:p w:rsidR="001C33F2" w:rsidRDefault="001B6370" w:rsidP="00A43082">
            <w:r>
              <w:t>Learners</w:t>
            </w:r>
            <w:r w:rsidR="001C33F2">
              <w:t xml:space="preserve"> will be engaged in the decisions that each group has made and the perceptions that have about the language needed.</w:t>
            </w:r>
          </w:p>
        </w:tc>
      </w:tr>
      <w:tr w:rsidR="001C33F2" w:rsidTr="003E33D4">
        <w:tc>
          <w:tcPr>
            <w:tcW w:w="4077" w:type="dxa"/>
          </w:tcPr>
          <w:p w:rsidR="001C33F2" w:rsidRDefault="001C33F2" w:rsidP="006A137F">
            <w:r>
              <w:t>Now go on to make the connection between the audience and the language and how the audience often determines whether we will use formal or informal language in our writing.</w:t>
            </w:r>
          </w:p>
        </w:tc>
        <w:tc>
          <w:tcPr>
            <w:tcW w:w="6605" w:type="dxa"/>
          </w:tcPr>
          <w:p w:rsidR="001C33F2" w:rsidRDefault="001C33F2" w:rsidP="00A43082"/>
        </w:tc>
      </w:tr>
      <w:tr w:rsidR="001C33F2" w:rsidTr="001C33F2">
        <w:tc>
          <w:tcPr>
            <w:tcW w:w="4077" w:type="dxa"/>
          </w:tcPr>
          <w:p w:rsidR="001C33F2" w:rsidRDefault="001C33F2" w:rsidP="001C33F2">
            <w:pPr>
              <w:jc w:val="right"/>
            </w:pPr>
          </w:p>
        </w:tc>
        <w:tc>
          <w:tcPr>
            <w:tcW w:w="6605" w:type="dxa"/>
          </w:tcPr>
          <w:p w:rsidR="001C33F2" w:rsidRDefault="001C33F2" w:rsidP="001C33F2">
            <w:r w:rsidRPr="001C33F2">
              <w:rPr>
                <w:b/>
              </w:rPr>
              <w:t>Homework</w:t>
            </w:r>
            <w:r>
              <w:t>: proof reading exercise three.</w:t>
            </w:r>
          </w:p>
        </w:tc>
      </w:tr>
      <w:tr w:rsidR="0092710A" w:rsidTr="00B3117A">
        <w:tc>
          <w:tcPr>
            <w:tcW w:w="10682" w:type="dxa"/>
            <w:gridSpan w:val="2"/>
          </w:tcPr>
          <w:p w:rsidR="0092710A" w:rsidRDefault="0092710A" w:rsidP="001C33F2">
            <w:pPr>
              <w:jc w:val="center"/>
              <w:rPr>
                <w:b/>
              </w:rPr>
            </w:pPr>
            <w:r>
              <w:rPr>
                <w:b/>
              </w:rPr>
              <w:t>Purpose</w:t>
            </w:r>
          </w:p>
        </w:tc>
      </w:tr>
      <w:tr w:rsidR="0092710A" w:rsidTr="0092710A">
        <w:tc>
          <w:tcPr>
            <w:tcW w:w="4077" w:type="dxa"/>
          </w:tcPr>
          <w:p w:rsidR="0092710A" w:rsidRDefault="0092710A" w:rsidP="0092710A">
            <w:r>
              <w:t xml:space="preserve">Explain the different purposes that are used when writing. Put </w:t>
            </w:r>
            <w:r w:rsidR="001B6370">
              <w:t>learners</w:t>
            </w:r>
            <w:r>
              <w:t xml:space="preserve"> in groups of three and hand each group a set of ‘purpose’ cards.</w:t>
            </w:r>
          </w:p>
          <w:p w:rsidR="0092710A" w:rsidRDefault="0092710A" w:rsidP="0092710A">
            <w:pPr>
              <w:pStyle w:val="ListParagraph"/>
            </w:pPr>
            <w:r>
              <w:t>Discuss – brown</w:t>
            </w:r>
          </w:p>
          <w:p w:rsidR="0092710A" w:rsidRDefault="0092710A" w:rsidP="0092710A">
            <w:pPr>
              <w:pStyle w:val="ListParagraph"/>
            </w:pPr>
            <w:r>
              <w:t>Inform – blue</w:t>
            </w:r>
          </w:p>
          <w:p w:rsidR="0092710A" w:rsidRDefault="0092710A" w:rsidP="0092710A">
            <w:pPr>
              <w:pStyle w:val="ListParagraph"/>
            </w:pPr>
            <w:r>
              <w:t>Persuade – green</w:t>
            </w:r>
          </w:p>
          <w:p w:rsidR="0092710A" w:rsidRDefault="0092710A" w:rsidP="0092710A">
            <w:pPr>
              <w:pStyle w:val="ListParagraph"/>
            </w:pPr>
            <w:r>
              <w:t>Recount – light grey</w:t>
            </w:r>
          </w:p>
          <w:p w:rsidR="0092710A" w:rsidRDefault="0092710A" w:rsidP="0092710A">
            <w:pPr>
              <w:pStyle w:val="ListParagraph"/>
            </w:pPr>
            <w:r>
              <w:t>Instruct – dark grey</w:t>
            </w:r>
          </w:p>
          <w:p w:rsidR="0092710A" w:rsidRDefault="0092710A" w:rsidP="0092710A">
            <w:pPr>
              <w:rPr>
                <w:b/>
              </w:rPr>
            </w:pPr>
            <w:r>
              <w:t xml:space="preserve">               Explain - blue</w:t>
            </w:r>
          </w:p>
        </w:tc>
        <w:tc>
          <w:tcPr>
            <w:tcW w:w="6605" w:type="dxa"/>
          </w:tcPr>
          <w:p w:rsidR="0092710A" w:rsidRDefault="001B6370" w:rsidP="0092710A">
            <w:pPr>
              <w:rPr>
                <w:b/>
              </w:rPr>
            </w:pPr>
            <w:r>
              <w:t>Learners</w:t>
            </w:r>
            <w:r w:rsidR="0092710A">
              <w:t xml:space="preserve"> read the passages on each card and identify the purpose.</w:t>
            </w:r>
          </w:p>
        </w:tc>
      </w:tr>
      <w:tr w:rsidR="001C33F2" w:rsidTr="00B3117A">
        <w:tc>
          <w:tcPr>
            <w:tcW w:w="10682" w:type="dxa"/>
            <w:gridSpan w:val="2"/>
          </w:tcPr>
          <w:p w:rsidR="001C33F2" w:rsidRPr="001C33F2" w:rsidRDefault="001C33F2" w:rsidP="001C33F2">
            <w:pPr>
              <w:jc w:val="center"/>
              <w:rPr>
                <w:b/>
              </w:rPr>
            </w:pPr>
            <w:r>
              <w:rPr>
                <w:b/>
              </w:rPr>
              <w:t>Writing to Persuade</w:t>
            </w:r>
          </w:p>
        </w:tc>
      </w:tr>
      <w:tr w:rsidR="001C33F2" w:rsidTr="001C33F2">
        <w:tc>
          <w:tcPr>
            <w:tcW w:w="4077" w:type="dxa"/>
          </w:tcPr>
          <w:p w:rsidR="001C33F2" w:rsidRDefault="001C33F2" w:rsidP="001C33F2">
            <w:pPr>
              <w:rPr>
                <w:b/>
              </w:rPr>
            </w:pPr>
            <w:r>
              <w:t xml:space="preserve">Put </w:t>
            </w:r>
            <w:r w:rsidR="001B6370">
              <w:t>learners</w:t>
            </w:r>
            <w:r>
              <w:t xml:space="preserve"> into groups and give each group one of the animal leaflets to look at and ask them to pick out how they think the leaflet persuades the reader  - this could be done on as a group or pair activity on a large piece of paper with the leaflet in the middle.</w:t>
            </w:r>
          </w:p>
        </w:tc>
        <w:tc>
          <w:tcPr>
            <w:tcW w:w="6605" w:type="dxa"/>
          </w:tcPr>
          <w:p w:rsidR="001C33F2" w:rsidRDefault="001B6370" w:rsidP="001C33F2">
            <w:pPr>
              <w:rPr>
                <w:b/>
              </w:rPr>
            </w:pPr>
            <w:r>
              <w:t>Learners</w:t>
            </w:r>
            <w:r w:rsidR="005027F4">
              <w:t xml:space="preserve"> will be exploring the texts independently, looking to discover how writers persuade – they will not have any information from you at the moment about techniques etc.</w:t>
            </w:r>
          </w:p>
        </w:tc>
      </w:tr>
      <w:tr w:rsidR="005027F4" w:rsidTr="001C33F2">
        <w:tc>
          <w:tcPr>
            <w:tcW w:w="4077" w:type="dxa"/>
          </w:tcPr>
          <w:p w:rsidR="005027F4" w:rsidRDefault="005027F4" w:rsidP="001C33F2">
            <w:r>
              <w:t xml:space="preserve">Ask </w:t>
            </w:r>
            <w:r w:rsidR="001B6370">
              <w:t>learners</w:t>
            </w:r>
            <w:r>
              <w:t xml:space="preserve"> to write the things they have identified onto individual Post-it notes and then to arrange the notes into groups (we are looking for them to start working out the techniques, here). </w:t>
            </w:r>
          </w:p>
        </w:tc>
        <w:tc>
          <w:tcPr>
            <w:tcW w:w="6605" w:type="dxa"/>
          </w:tcPr>
          <w:p w:rsidR="005027F4" w:rsidRDefault="001B6370" w:rsidP="001C33F2">
            <w:r>
              <w:t>Learners</w:t>
            </w:r>
            <w:r w:rsidR="005027F4">
              <w:t xml:space="preserve"> will be thinking about the things they have picked out and making connections between their annotations.</w:t>
            </w:r>
          </w:p>
        </w:tc>
      </w:tr>
      <w:tr w:rsidR="005027F4" w:rsidTr="001C33F2">
        <w:tc>
          <w:tcPr>
            <w:tcW w:w="4077" w:type="dxa"/>
          </w:tcPr>
          <w:p w:rsidR="005027F4" w:rsidRDefault="005027F4" w:rsidP="001C33F2">
            <w:r>
              <w:t xml:space="preserve">Ask </w:t>
            </w:r>
            <w:r w:rsidR="001B6370">
              <w:t>learners</w:t>
            </w:r>
            <w:r>
              <w:t xml:space="preserve"> to feedback on their categories.</w:t>
            </w:r>
          </w:p>
        </w:tc>
        <w:tc>
          <w:tcPr>
            <w:tcW w:w="6605" w:type="dxa"/>
          </w:tcPr>
          <w:p w:rsidR="005027F4" w:rsidRDefault="005027F4" w:rsidP="001C33F2"/>
        </w:tc>
      </w:tr>
      <w:tr w:rsidR="005027F4" w:rsidTr="001C33F2">
        <w:tc>
          <w:tcPr>
            <w:tcW w:w="4077" w:type="dxa"/>
          </w:tcPr>
          <w:p w:rsidR="005027F4" w:rsidRDefault="005027F4" w:rsidP="001C33F2">
            <w:r>
              <w:t xml:space="preserve">Show </w:t>
            </w:r>
            <w:r w:rsidR="001B6370">
              <w:t>learners</w:t>
            </w:r>
            <w:r>
              <w:t xml:space="preserve"> the AFOREST acronym and draw connections between the groups they’ve made and the areas of the acronym. The most important thing here is that they are aware of the EFFECTS of using these techniques.</w:t>
            </w:r>
          </w:p>
        </w:tc>
        <w:tc>
          <w:tcPr>
            <w:tcW w:w="6605" w:type="dxa"/>
          </w:tcPr>
          <w:p w:rsidR="005027F4" w:rsidRDefault="005027F4" w:rsidP="001C33F2"/>
        </w:tc>
      </w:tr>
      <w:tr w:rsidR="005027F4" w:rsidTr="001C33F2">
        <w:tc>
          <w:tcPr>
            <w:tcW w:w="4077" w:type="dxa"/>
          </w:tcPr>
          <w:p w:rsidR="005027F4" w:rsidRDefault="005027F4" w:rsidP="001C33F2">
            <w:r>
              <w:t xml:space="preserve">Give </w:t>
            </w:r>
            <w:r w:rsidR="001B6370">
              <w:t>learners</w:t>
            </w:r>
            <w:r>
              <w:t xml:space="preserve"> a second animal cruelty leaflet and direct them to analyse the </w:t>
            </w:r>
            <w:r>
              <w:lastRenderedPageBreak/>
              <w:t>leaflet using AFOREST.</w:t>
            </w:r>
          </w:p>
        </w:tc>
        <w:tc>
          <w:tcPr>
            <w:tcW w:w="6605" w:type="dxa"/>
          </w:tcPr>
          <w:p w:rsidR="005027F4" w:rsidRDefault="001B6370" w:rsidP="001C33F2">
            <w:r>
              <w:lastRenderedPageBreak/>
              <w:t>Learners</w:t>
            </w:r>
            <w:r w:rsidR="005027F4">
              <w:t xml:space="preserve"> will be applying their knowledge of AFOREST to a new document/context.</w:t>
            </w:r>
          </w:p>
        </w:tc>
      </w:tr>
      <w:tr w:rsidR="005027F4" w:rsidTr="001C33F2">
        <w:tc>
          <w:tcPr>
            <w:tcW w:w="4077" w:type="dxa"/>
          </w:tcPr>
          <w:p w:rsidR="005027F4" w:rsidRDefault="005027F4" w:rsidP="001C33F2">
            <w:r>
              <w:lastRenderedPageBreak/>
              <w:t xml:space="preserve">Share mark scheme with </w:t>
            </w:r>
            <w:r w:rsidR="001B6370">
              <w:t>learners</w:t>
            </w:r>
            <w:r>
              <w:t xml:space="preserve"> and explain how the assessment piece will be marked.</w:t>
            </w:r>
          </w:p>
          <w:p w:rsidR="005027F4" w:rsidRDefault="005027F4" w:rsidP="001C33F2">
            <w:r>
              <w:t xml:space="preserve"> </w:t>
            </w:r>
            <w:r>
              <w:rPr>
                <w:b/>
              </w:rPr>
              <w:t xml:space="preserve">EXT: where needed </w:t>
            </w:r>
            <w:r w:rsidR="001B6370">
              <w:rPr>
                <w:b/>
              </w:rPr>
              <w:t>learners</w:t>
            </w:r>
            <w:r>
              <w:rPr>
                <w:b/>
              </w:rPr>
              <w:t xml:space="preserve"> could make their own, individual mark schemes, taking the statements from the mark scheme and putting them into pupil friendly language and deciding what they are most confident with etc. This is at your discretion – decide whether you think this will be beneficial to your class.</w:t>
            </w:r>
          </w:p>
        </w:tc>
        <w:tc>
          <w:tcPr>
            <w:tcW w:w="6605" w:type="dxa"/>
          </w:tcPr>
          <w:p w:rsidR="005027F4" w:rsidRDefault="001B6370" w:rsidP="001C33F2">
            <w:r>
              <w:t>Learners</w:t>
            </w:r>
            <w:r w:rsidR="005027F4">
              <w:t xml:space="preserve"> will become familiar with the mark scheme and what they need to do in the assessment task.</w:t>
            </w:r>
          </w:p>
        </w:tc>
      </w:tr>
      <w:tr w:rsidR="005027F4" w:rsidTr="001C33F2">
        <w:tc>
          <w:tcPr>
            <w:tcW w:w="4077" w:type="dxa"/>
          </w:tcPr>
          <w:p w:rsidR="005027F4" w:rsidRPr="00B42713" w:rsidRDefault="005027F4" w:rsidP="005027F4">
            <w:r>
              <w:t xml:space="preserve">Using one of the leaflets that they have analysed, and the mark scheme, support </w:t>
            </w:r>
            <w:r w:rsidR="001B6370">
              <w:t>learners</w:t>
            </w:r>
            <w:r>
              <w:t xml:space="preserve"> to plan the following task: ‘Give a speech to your class about </w:t>
            </w:r>
            <w:r w:rsidRPr="005027F4">
              <w:rPr>
                <w:b/>
              </w:rPr>
              <w:t xml:space="preserve">(enter here the topic of the leaflet), </w:t>
            </w:r>
            <w:r>
              <w:t xml:space="preserve">persuading them to </w:t>
            </w:r>
            <w:r w:rsidRPr="005027F4">
              <w:rPr>
                <w:b/>
              </w:rPr>
              <w:t>(support the charity, stop eating meat –whatever the leaflet is about).</w:t>
            </w:r>
          </w:p>
          <w:p w:rsidR="005027F4" w:rsidRDefault="005027F4" w:rsidP="005027F4">
            <w:r>
              <w:rPr>
                <w:b/>
              </w:rPr>
              <w:t xml:space="preserve">NB – </w:t>
            </w:r>
            <w:r>
              <w:t>they are only planning this and then writing an opening paragraph, this should take no more than one lesson, it is not a complete task.</w:t>
            </w:r>
          </w:p>
        </w:tc>
        <w:tc>
          <w:tcPr>
            <w:tcW w:w="6605" w:type="dxa"/>
          </w:tcPr>
          <w:p w:rsidR="005027F4" w:rsidRDefault="001B6370" w:rsidP="001C33F2">
            <w:r>
              <w:t>Learners</w:t>
            </w:r>
            <w:r w:rsidR="005027F4">
              <w:t xml:space="preserve"> will be applying their knowledge of FLAP to a piece of writing. All </w:t>
            </w:r>
            <w:r>
              <w:t>learners</w:t>
            </w:r>
            <w:r w:rsidR="005027F4">
              <w:t xml:space="preserve"> will write the first paragraph of the speech.</w:t>
            </w:r>
          </w:p>
        </w:tc>
      </w:tr>
      <w:tr w:rsidR="005027F4" w:rsidTr="001C33F2">
        <w:tc>
          <w:tcPr>
            <w:tcW w:w="4077" w:type="dxa"/>
          </w:tcPr>
          <w:p w:rsidR="005027F4" w:rsidRPr="00553750" w:rsidRDefault="005027F4" w:rsidP="0049472E">
            <w:r>
              <w:t xml:space="preserve">You now need to support the peer assessment of the paragraphs that </w:t>
            </w:r>
            <w:r w:rsidR="001B6370">
              <w:t>learners</w:t>
            </w:r>
            <w:r>
              <w:t xml:space="preserve"> have written – this needs to be done thoroughly and </w:t>
            </w:r>
            <w:r w:rsidR="001B6370">
              <w:t>learners</w:t>
            </w:r>
            <w:r>
              <w:t xml:space="preserve"> need to be aware of the mark scheme and what they are looking for. </w:t>
            </w:r>
            <w:r w:rsidR="001B6370">
              <w:rPr>
                <w:b/>
              </w:rPr>
              <w:t>LEARNERS</w:t>
            </w:r>
            <w:r w:rsidRPr="0049472E">
              <w:rPr>
                <w:b/>
              </w:rPr>
              <w:t xml:space="preserve"> DO NOT GIVE A MARK OR GRADE TO THE WORK – JUST TSAW. </w:t>
            </w:r>
          </w:p>
          <w:p w:rsidR="0049472E" w:rsidRDefault="0049472E" w:rsidP="0049472E"/>
          <w:p w:rsidR="005027F4" w:rsidRDefault="005027F4" w:rsidP="0049472E">
            <w:r>
              <w:t xml:space="preserve">Here are a useful set of guidelines for creating effective peer assessment. </w:t>
            </w:r>
          </w:p>
          <w:p w:rsidR="005027F4" w:rsidRDefault="005027F4" w:rsidP="0049472E">
            <w:r>
              <w:t>For PA to be successful, there needs to be:</w:t>
            </w:r>
          </w:p>
          <w:p w:rsidR="005027F4" w:rsidRPr="0049472E" w:rsidRDefault="005027F4" w:rsidP="0049472E">
            <w:pPr>
              <w:pStyle w:val="ListParagraph"/>
              <w:numPr>
                <w:ilvl w:val="0"/>
                <w:numId w:val="19"/>
              </w:numPr>
              <w:rPr>
                <w:i/>
              </w:rPr>
            </w:pPr>
            <w:r w:rsidRPr="0049472E">
              <w:rPr>
                <w:i/>
              </w:rPr>
              <w:t>A clear rationale: what are the purposes of</w:t>
            </w:r>
            <w:r w:rsidR="0049472E" w:rsidRPr="0049472E">
              <w:rPr>
                <w:i/>
              </w:rPr>
              <w:t xml:space="preserve"> </w:t>
            </w:r>
            <w:r w:rsidRPr="0049472E">
              <w:rPr>
                <w:i/>
              </w:rPr>
              <w:t>this particular activity?</w:t>
            </w:r>
          </w:p>
          <w:p w:rsidR="005027F4" w:rsidRPr="0049472E" w:rsidRDefault="005027F4" w:rsidP="0049472E">
            <w:pPr>
              <w:pStyle w:val="ListParagraph"/>
              <w:numPr>
                <w:ilvl w:val="0"/>
                <w:numId w:val="19"/>
              </w:numPr>
              <w:rPr>
                <w:i/>
              </w:rPr>
            </w:pPr>
            <w:r w:rsidRPr="0049472E">
              <w:rPr>
                <w:i/>
              </w:rPr>
              <w:t>Explicit procedures—students need to know</w:t>
            </w:r>
          </w:p>
          <w:p w:rsidR="005027F4" w:rsidRPr="0049472E" w:rsidRDefault="0049472E" w:rsidP="0049472E">
            <w:pPr>
              <w:pStyle w:val="ListParagraph"/>
              <w:numPr>
                <w:ilvl w:val="0"/>
                <w:numId w:val="19"/>
              </w:numPr>
              <w:rPr>
                <w:i/>
              </w:rPr>
            </w:pPr>
            <w:r>
              <w:rPr>
                <w:i/>
              </w:rPr>
              <w:t>W</w:t>
            </w:r>
            <w:r w:rsidR="005027F4" w:rsidRPr="0049472E">
              <w:rPr>
                <w:i/>
              </w:rPr>
              <w:t xml:space="preserve">hat is expected of </w:t>
            </w:r>
            <w:proofErr w:type="gramStart"/>
            <w:r w:rsidR="005027F4" w:rsidRPr="0049472E">
              <w:rPr>
                <w:i/>
              </w:rPr>
              <w:t>them.</w:t>
            </w:r>
            <w:proofErr w:type="gramEnd"/>
          </w:p>
          <w:p w:rsidR="005027F4" w:rsidRPr="0049472E" w:rsidRDefault="005027F4" w:rsidP="0049472E">
            <w:pPr>
              <w:pStyle w:val="ListParagraph"/>
              <w:numPr>
                <w:ilvl w:val="0"/>
                <w:numId w:val="19"/>
              </w:numPr>
              <w:rPr>
                <w:i/>
              </w:rPr>
            </w:pPr>
            <w:r w:rsidRPr="0049472E">
              <w:rPr>
                <w:i/>
              </w:rPr>
              <w:t xml:space="preserve">Reassurance of a safe environment </w:t>
            </w:r>
          </w:p>
          <w:p w:rsidR="005027F4" w:rsidRDefault="005027F4" w:rsidP="0049472E">
            <w:pPr>
              <w:pStyle w:val="ListParagraph"/>
              <w:numPr>
                <w:ilvl w:val="0"/>
                <w:numId w:val="19"/>
              </w:numPr>
              <w:rPr>
                <w:i/>
              </w:rPr>
            </w:pPr>
            <w:r w:rsidRPr="0049472E">
              <w:rPr>
                <w:i/>
              </w:rPr>
              <w:t>Confidence that other students will be fair and honest</w:t>
            </w:r>
          </w:p>
          <w:p w:rsidR="0049472E" w:rsidRPr="0049472E" w:rsidRDefault="0049472E" w:rsidP="0049472E">
            <w:pPr>
              <w:rPr>
                <w:i/>
              </w:rPr>
            </w:pPr>
          </w:p>
          <w:p w:rsidR="005027F4" w:rsidRDefault="005027F4" w:rsidP="0049472E">
            <w:r>
              <w:t xml:space="preserve">The following should be done in the lesson </w:t>
            </w:r>
            <w:r>
              <w:lastRenderedPageBreak/>
              <w:t>following the writing of the opening paragraphs.</w:t>
            </w:r>
          </w:p>
          <w:p w:rsidR="005027F4" w:rsidRDefault="005027F4" w:rsidP="0049472E"/>
          <w:p w:rsidR="005027F4" w:rsidRDefault="005027F4" w:rsidP="0049472E">
            <w:r>
              <w:t>Arrange ‘stations’ around the classroom with three to four pieces of work on and two A3 copies of the mark scheme and a list of example comments and targets (these could have been created as a class if time allows)</w:t>
            </w:r>
            <w:r w:rsidR="0049472E">
              <w:t xml:space="preserve">. </w:t>
            </w:r>
          </w:p>
          <w:p w:rsidR="005027F4" w:rsidRDefault="005027F4" w:rsidP="0049472E"/>
          <w:p w:rsidR="005027F4" w:rsidRDefault="005027F4" w:rsidP="0049472E">
            <w:r>
              <w:t xml:space="preserve">Split </w:t>
            </w:r>
            <w:r w:rsidR="001B6370">
              <w:t>learners</w:t>
            </w:r>
            <w:r>
              <w:t xml:space="preserve"> in</w:t>
            </w:r>
            <w:r w:rsidR="001B6370">
              <w:t>to</w:t>
            </w:r>
            <w:r>
              <w:t xml:space="preserve"> groups and assign each a starting ‘station’.</w:t>
            </w:r>
          </w:p>
          <w:p w:rsidR="005027F4" w:rsidRDefault="005027F4" w:rsidP="0049472E"/>
          <w:p w:rsidR="005027F4" w:rsidRDefault="001B6370" w:rsidP="0049472E">
            <w:r>
              <w:t>Learners</w:t>
            </w:r>
            <w:r w:rsidR="005027F4">
              <w:t xml:space="preserve"> read work individually, in pairs or as a group and, using this mark scheme, put two stars and a wish on each piece of work. *They simply ignore their own work when they come to it. </w:t>
            </w:r>
          </w:p>
          <w:p w:rsidR="005027F4" w:rsidRDefault="005027F4" w:rsidP="0049472E"/>
          <w:p w:rsidR="005027F4" w:rsidRDefault="005027F4" w:rsidP="0049472E">
            <w:r>
              <w:t xml:space="preserve">This task should be done carefully and with consideration, it is important that the </w:t>
            </w:r>
            <w:r w:rsidR="001B6370">
              <w:t>learners</w:t>
            </w:r>
            <w:r>
              <w:t xml:space="preserve"> read carefully and give useful feedback and comments.</w:t>
            </w:r>
          </w:p>
          <w:p w:rsidR="005027F4" w:rsidRDefault="005027F4" w:rsidP="005027F4"/>
        </w:tc>
        <w:tc>
          <w:tcPr>
            <w:tcW w:w="6605" w:type="dxa"/>
          </w:tcPr>
          <w:p w:rsidR="0049472E" w:rsidRDefault="001B6370" w:rsidP="0049472E">
            <w:r>
              <w:lastRenderedPageBreak/>
              <w:t>Learners</w:t>
            </w:r>
            <w:r w:rsidR="0049472E">
              <w:t xml:space="preserve"> will be looking at their peers’ work and considering it against the mark scheme. </w:t>
            </w:r>
          </w:p>
          <w:p w:rsidR="005027F4" w:rsidRDefault="005027F4" w:rsidP="001C33F2"/>
        </w:tc>
      </w:tr>
      <w:tr w:rsidR="0049472E" w:rsidTr="001C33F2">
        <w:tc>
          <w:tcPr>
            <w:tcW w:w="4077" w:type="dxa"/>
          </w:tcPr>
          <w:p w:rsidR="0049472E" w:rsidRPr="00553750" w:rsidRDefault="0049472E" w:rsidP="0049472E">
            <w:r>
              <w:lastRenderedPageBreak/>
              <w:t xml:space="preserve">Hand books back to </w:t>
            </w:r>
            <w:r w:rsidR="001B6370">
              <w:t>learners</w:t>
            </w:r>
            <w:r>
              <w:t xml:space="preserve"> and ask them to consider their targets and comments, quietly. Following this, they should write a comment about the targets and, if possible, add their own target. </w:t>
            </w:r>
          </w:p>
          <w:p w:rsidR="0049472E" w:rsidRDefault="0049472E" w:rsidP="0049472E"/>
        </w:tc>
        <w:tc>
          <w:tcPr>
            <w:tcW w:w="6605" w:type="dxa"/>
          </w:tcPr>
          <w:p w:rsidR="0049472E" w:rsidRDefault="001B6370" w:rsidP="0049472E">
            <w:r>
              <w:t>Learners</w:t>
            </w:r>
            <w:r w:rsidR="0049472E">
              <w:t xml:space="preserve"> will review their targets and assess their own work.</w:t>
            </w:r>
          </w:p>
        </w:tc>
      </w:tr>
      <w:tr w:rsidR="001B6370" w:rsidTr="00AB5A2F">
        <w:tc>
          <w:tcPr>
            <w:tcW w:w="10682" w:type="dxa"/>
            <w:gridSpan w:val="2"/>
          </w:tcPr>
          <w:p w:rsidR="001B6370" w:rsidRDefault="001B6370" w:rsidP="001B6370">
            <w:pPr>
              <w:jc w:val="center"/>
            </w:pPr>
            <w:r>
              <w:rPr>
                <w:b/>
              </w:rPr>
              <w:t>AT THIS POINT YOU MAY WISH TO INSERT A SERIES OF LESSONS THAT TARGETS THE FORMAT OF THE ASSESSMENT TASK. FOR EXAMPLE, WE HAVE USED A SPEECH AS THE ASSESSMENT FOCUS, BUT YOU SHOULD CHOOSE THE FORMAT THAT BEST COMPLIMENTS YOUR SOW.</w:t>
            </w:r>
          </w:p>
        </w:tc>
      </w:tr>
      <w:tr w:rsidR="0049472E" w:rsidTr="001C33F2">
        <w:tc>
          <w:tcPr>
            <w:tcW w:w="4077" w:type="dxa"/>
          </w:tcPr>
          <w:p w:rsidR="0049472E" w:rsidRDefault="0049472E" w:rsidP="0049472E">
            <w:r>
              <w:t xml:space="preserve">You will now give </w:t>
            </w:r>
            <w:r w:rsidR="001B6370">
              <w:t>learners</w:t>
            </w:r>
            <w:r>
              <w:t xml:space="preserve"> the assessment to complete. They are allowed the following resources during the assessment:</w:t>
            </w:r>
          </w:p>
          <w:p w:rsidR="0049472E" w:rsidRDefault="0049472E" w:rsidP="0049472E"/>
          <w:p w:rsidR="0049472E" w:rsidRPr="0049472E" w:rsidRDefault="0049472E" w:rsidP="0049472E">
            <w:pPr>
              <w:pStyle w:val="ListParagraph"/>
              <w:numPr>
                <w:ilvl w:val="1"/>
                <w:numId w:val="20"/>
              </w:numPr>
              <w:rPr>
                <w:i/>
              </w:rPr>
            </w:pPr>
            <w:r w:rsidRPr="0049472E">
              <w:rPr>
                <w:i/>
              </w:rPr>
              <w:t>Concept map</w:t>
            </w:r>
          </w:p>
          <w:p w:rsidR="0049472E" w:rsidRDefault="0049472E" w:rsidP="0049472E">
            <w:pPr>
              <w:rPr>
                <w:i/>
              </w:rPr>
            </w:pPr>
          </w:p>
          <w:p w:rsidR="0049472E" w:rsidRPr="0049472E" w:rsidRDefault="0049472E" w:rsidP="0049472E">
            <w:pPr>
              <w:pStyle w:val="ListParagraph"/>
              <w:numPr>
                <w:ilvl w:val="1"/>
                <w:numId w:val="20"/>
              </w:numPr>
              <w:rPr>
                <w:i/>
              </w:rPr>
            </w:pPr>
            <w:r w:rsidRPr="0049472E">
              <w:rPr>
                <w:i/>
              </w:rPr>
              <w:t xml:space="preserve">Annotated copy of the articles        </w:t>
            </w:r>
          </w:p>
          <w:p w:rsidR="0049472E" w:rsidRPr="0049472E" w:rsidRDefault="0049472E" w:rsidP="0049472E">
            <w:pPr>
              <w:pStyle w:val="ListParagraph"/>
              <w:numPr>
                <w:ilvl w:val="1"/>
                <w:numId w:val="20"/>
              </w:numPr>
              <w:rPr>
                <w:i/>
              </w:rPr>
            </w:pPr>
            <w:r w:rsidRPr="0049472E">
              <w:rPr>
                <w:i/>
              </w:rPr>
              <w:t>they have read</w:t>
            </w:r>
          </w:p>
          <w:p w:rsidR="0049472E" w:rsidRDefault="0049472E" w:rsidP="0049472E">
            <w:pPr>
              <w:rPr>
                <w:i/>
              </w:rPr>
            </w:pPr>
          </w:p>
          <w:p w:rsidR="0049472E" w:rsidRPr="0049472E" w:rsidRDefault="0049472E" w:rsidP="0049472E">
            <w:pPr>
              <w:pStyle w:val="ListParagraph"/>
              <w:numPr>
                <w:ilvl w:val="1"/>
                <w:numId w:val="20"/>
              </w:numPr>
              <w:rPr>
                <w:i/>
              </w:rPr>
            </w:pPr>
            <w:r w:rsidRPr="0049472E">
              <w:rPr>
                <w:i/>
              </w:rPr>
              <w:t>FLAP mat</w:t>
            </w:r>
          </w:p>
          <w:p w:rsidR="0049472E" w:rsidRDefault="0049472E" w:rsidP="0049472E">
            <w:pPr>
              <w:rPr>
                <w:i/>
              </w:rPr>
            </w:pPr>
          </w:p>
          <w:p w:rsidR="0049472E" w:rsidRPr="0049472E" w:rsidRDefault="0049472E" w:rsidP="0049472E">
            <w:pPr>
              <w:pStyle w:val="ListParagraph"/>
              <w:numPr>
                <w:ilvl w:val="1"/>
                <w:numId w:val="20"/>
              </w:numPr>
              <w:rPr>
                <w:i/>
              </w:rPr>
            </w:pPr>
            <w:r w:rsidRPr="0049472E">
              <w:rPr>
                <w:i/>
              </w:rPr>
              <w:t>Mark scheme</w:t>
            </w:r>
          </w:p>
          <w:p w:rsidR="0049472E" w:rsidRDefault="0049472E" w:rsidP="0049472E">
            <w:pPr>
              <w:rPr>
                <w:i/>
              </w:rPr>
            </w:pPr>
          </w:p>
          <w:p w:rsidR="0049472E" w:rsidRDefault="001B6370" w:rsidP="0049472E">
            <w:r>
              <w:t>Learners</w:t>
            </w:r>
            <w:r w:rsidR="0049472E">
              <w:t xml:space="preserve"> have 50 minutes to complete the </w:t>
            </w:r>
            <w:r w:rsidR="0049472E">
              <w:lastRenderedPageBreak/>
              <w:t xml:space="preserve">assessment. </w:t>
            </w:r>
          </w:p>
          <w:p w:rsidR="0049472E" w:rsidRDefault="0049472E" w:rsidP="0049472E"/>
        </w:tc>
        <w:tc>
          <w:tcPr>
            <w:tcW w:w="6605" w:type="dxa"/>
          </w:tcPr>
          <w:p w:rsidR="0049472E" w:rsidRDefault="0049472E" w:rsidP="0049472E">
            <w:r>
              <w:lastRenderedPageBreak/>
              <w:t xml:space="preserve"> Complete assessment.</w:t>
            </w:r>
          </w:p>
        </w:tc>
      </w:tr>
      <w:tr w:rsidR="0049472E" w:rsidTr="007537AA">
        <w:tc>
          <w:tcPr>
            <w:tcW w:w="10682" w:type="dxa"/>
            <w:gridSpan w:val="2"/>
          </w:tcPr>
          <w:p w:rsidR="0049472E" w:rsidRDefault="0049472E" w:rsidP="0049472E">
            <w:pPr>
              <w:rPr>
                <w:b/>
              </w:rPr>
            </w:pPr>
            <w:r>
              <w:rPr>
                <w:b/>
              </w:rPr>
              <w:lastRenderedPageBreak/>
              <w:t xml:space="preserve">Resources </w:t>
            </w:r>
            <w:r w:rsidR="00CD76AD">
              <w:rPr>
                <w:b/>
              </w:rPr>
              <w:t>needed to teach this of work</w:t>
            </w:r>
          </w:p>
          <w:p w:rsidR="0049472E" w:rsidRDefault="00CD76AD" w:rsidP="00CD76AD">
            <w:pPr>
              <w:rPr>
                <w:b/>
              </w:rPr>
            </w:pPr>
            <w:r>
              <w:rPr>
                <w:b/>
              </w:rPr>
              <w:t>‘Everest’ DVD</w:t>
            </w:r>
            <w:r w:rsidR="001B6370">
              <w:rPr>
                <w:b/>
              </w:rPr>
              <w:t xml:space="preserve"> (OR AN ALTERNATIVE DOCUMENTARY THAT PROVIDES LEARNERS WITH BACKGROUND INFORMATION ABOUT THE MOUNTAIN). </w:t>
            </w:r>
            <w:bookmarkStart w:id="0" w:name="_GoBack"/>
            <w:bookmarkEnd w:id="0"/>
          </w:p>
          <w:p w:rsidR="00CD76AD" w:rsidRDefault="00CD76AD" w:rsidP="00CD76AD">
            <w:pPr>
              <w:rPr>
                <w:rStyle w:val="Hyperlink"/>
              </w:rPr>
            </w:pPr>
            <w:r>
              <w:rPr>
                <w:b/>
              </w:rPr>
              <w:t xml:space="preserve">‘Everest Beyond the Limit’  </w:t>
            </w:r>
            <w:hyperlink r:id="rId11" w:history="1">
              <w:r w:rsidRPr="003A4DEF">
                <w:rPr>
                  <w:rStyle w:val="Hyperlink"/>
                </w:rPr>
                <w:t>http://www.youtube.com/watch?v=R2qIQ7gbTLA</w:t>
              </w:r>
            </w:hyperlink>
          </w:p>
          <w:p w:rsidR="00CD76AD" w:rsidRDefault="00CD76AD" w:rsidP="00CD76AD">
            <w:pPr>
              <w:rPr>
                <w:b/>
              </w:rPr>
            </w:pPr>
            <w:r w:rsidRPr="00CD76AD">
              <w:rPr>
                <w:b/>
              </w:rPr>
              <w:t>‘</w:t>
            </w:r>
            <w:proofErr w:type="spellStart"/>
            <w:r w:rsidRPr="00CD76AD">
              <w:rPr>
                <w:b/>
              </w:rPr>
              <w:t>Sherpas</w:t>
            </w:r>
            <w:proofErr w:type="spellEnd"/>
            <w:r w:rsidRPr="00CD76AD">
              <w:rPr>
                <w:b/>
              </w:rPr>
              <w:t>’ Burden’</w:t>
            </w:r>
            <w:r w:rsidRPr="00FB0628">
              <w:t xml:space="preserve"> </w:t>
            </w:r>
            <w:r>
              <w:t xml:space="preserve"> </w:t>
            </w:r>
            <w:hyperlink r:id="rId12" w:history="1">
              <w:r w:rsidRPr="00A43082">
                <w:rPr>
                  <w:rStyle w:val="Hyperlink"/>
                  <w:b/>
                </w:rPr>
                <w:t>http://www.youtube.com/watch?v=l4vx_E88x0M</w:t>
              </w:r>
            </w:hyperlink>
            <w:r w:rsidRPr="00A43082">
              <w:rPr>
                <w:b/>
              </w:rPr>
              <w:t xml:space="preserve"> </w:t>
            </w:r>
          </w:p>
          <w:p w:rsidR="0092710A" w:rsidRDefault="00CD76AD" w:rsidP="00CD76AD">
            <w:r w:rsidRPr="00CD76AD">
              <w:rPr>
                <w:b/>
              </w:rPr>
              <w:t>‘</w:t>
            </w:r>
            <w:proofErr w:type="spellStart"/>
            <w:r w:rsidRPr="00CD76AD">
              <w:rPr>
                <w:b/>
              </w:rPr>
              <w:t>Sherpas</w:t>
            </w:r>
            <w:proofErr w:type="spellEnd"/>
            <w:r w:rsidRPr="00CD76AD">
              <w:rPr>
                <w:b/>
              </w:rPr>
              <w:t>, the true heroes of Mount Everest’</w:t>
            </w:r>
            <w:r>
              <w:t xml:space="preserve"> (video available on website)</w:t>
            </w:r>
          </w:p>
          <w:p w:rsidR="00CD76AD" w:rsidRPr="00CD76AD" w:rsidRDefault="00CD76AD" w:rsidP="00CD76AD">
            <w:pPr>
              <w:rPr>
                <w:b/>
              </w:rPr>
            </w:pPr>
            <w:r>
              <w:rPr>
                <w:b/>
              </w:rPr>
              <w:t xml:space="preserve">Proof reading exercises </w:t>
            </w:r>
          </w:p>
          <w:p w:rsidR="00CD76AD" w:rsidRPr="00CD76AD" w:rsidRDefault="00CD76AD" w:rsidP="00CD76AD">
            <w:pPr>
              <w:rPr>
                <w:b/>
              </w:rPr>
            </w:pPr>
            <w:r w:rsidRPr="00CD76AD">
              <w:rPr>
                <w:b/>
              </w:rPr>
              <w:t>‘</w:t>
            </w:r>
            <w:proofErr w:type="spellStart"/>
            <w:r w:rsidRPr="00CD76AD">
              <w:rPr>
                <w:b/>
              </w:rPr>
              <w:t>Sherpas</w:t>
            </w:r>
            <w:proofErr w:type="spellEnd"/>
            <w:r w:rsidRPr="00CD76AD">
              <w:rPr>
                <w:b/>
              </w:rPr>
              <w:t xml:space="preserve">: The Invisible Men of Everest’ </w:t>
            </w:r>
          </w:p>
          <w:p w:rsidR="00CD76AD" w:rsidRPr="00873317" w:rsidRDefault="00CD76AD" w:rsidP="00CD76AD">
            <w:pPr>
              <w:rPr>
                <w:b/>
              </w:rPr>
            </w:pPr>
            <w:r w:rsidRPr="00873317">
              <w:rPr>
                <w:b/>
              </w:rPr>
              <w:t>‘Climbing Everest is the peak of hubris’ (extension article</w:t>
            </w:r>
            <w:r w:rsidR="00873317" w:rsidRPr="00873317">
              <w:rPr>
                <w:b/>
              </w:rPr>
              <w:t>)</w:t>
            </w:r>
          </w:p>
          <w:p w:rsidR="00CD76AD" w:rsidRPr="00873317" w:rsidRDefault="00CD76AD" w:rsidP="00873317">
            <w:pPr>
              <w:rPr>
                <w:b/>
              </w:rPr>
            </w:pPr>
            <w:r w:rsidRPr="00873317">
              <w:rPr>
                <w:b/>
              </w:rPr>
              <w:t xml:space="preserve">‘Maxed out on Everest’ </w:t>
            </w:r>
          </w:p>
          <w:p w:rsidR="00CD76AD" w:rsidRPr="00873317" w:rsidRDefault="00CD76AD" w:rsidP="00873317">
            <w:pPr>
              <w:rPr>
                <w:b/>
              </w:rPr>
            </w:pPr>
            <w:r w:rsidRPr="00873317">
              <w:rPr>
                <w:b/>
              </w:rPr>
              <w:t xml:space="preserve">‘Mount Everest’s Filthy Secret’ </w:t>
            </w:r>
          </w:p>
          <w:p w:rsidR="00CD76AD" w:rsidRDefault="00CD76AD" w:rsidP="00873317">
            <w:pPr>
              <w:rPr>
                <w:b/>
              </w:rPr>
            </w:pPr>
            <w:r w:rsidRPr="00873317">
              <w:rPr>
                <w:b/>
              </w:rPr>
              <w:t xml:space="preserve">‘Mount Everest litter targeted by Nepalese authorities’ </w:t>
            </w:r>
          </w:p>
          <w:p w:rsidR="00873317" w:rsidRDefault="0092710A" w:rsidP="00873317">
            <w:pPr>
              <w:rPr>
                <w:b/>
              </w:rPr>
            </w:pPr>
            <w:r>
              <w:rPr>
                <w:b/>
              </w:rPr>
              <w:t>Informal and formal language cards</w:t>
            </w:r>
          </w:p>
          <w:p w:rsidR="0092710A" w:rsidRDefault="0092710A" w:rsidP="00873317">
            <w:pPr>
              <w:rPr>
                <w:b/>
              </w:rPr>
            </w:pPr>
            <w:r>
              <w:rPr>
                <w:b/>
              </w:rPr>
              <w:t>Purpose cards</w:t>
            </w:r>
          </w:p>
          <w:p w:rsidR="0092710A" w:rsidRPr="00DB0172" w:rsidRDefault="00DB0172" w:rsidP="00873317">
            <w:pPr>
              <w:rPr>
                <w:b/>
              </w:rPr>
            </w:pPr>
            <w:r w:rsidRPr="00DB0172">
              <w:rPr>
                <w:b/>
              </w:rPr>
              <w:t>Animal leaflets</w:t>
            </w:r>
          </w:p>
          <w:p w:rsidR="00CD76AD" w:rsidRPr="00DB0172" w:rsidRDefault="00DB0172" w:rsidP="00CD76AD">
            <w:pPr>
              <w:rPr>
                <w:rStyle w:val="Hyperlink"/>
                <w:b/>
                <w:color w:val="auto"/>
                <w:u w:val="none"/>
              </w:rPr>
            </w:pPr>
            <w:r w:rsidRPr="00DB0172">
              <w:rPr>
                <w:rStyle w:val="Hyperlink"/>
                <w:b/>
                <w:color w:val="auto"/>
                <w:u w:val="none"/>
              </w:rPr>
              <w:t xml:space="preserve">Mark Scheme </w:t>
            </w:r>
          </w:p>
          <w:p w:rsidR="00DB0172" w:rsidRPr="00DB0172" w:rsidRDefault="00DB0172" w:rsidP="00CD76AD">
            <w:pPr>
              <w:rPr>
                <w:rStyle w:val="Hyperlink"/>
                <w:b/>
                <w:color w:val="auto"/>
                <w:u w:val="none"/>
              </w:rPr>
            </w:pPr>
            <w:r w:rsidRPr="00DB0172">
              <w:rPr>
                <w:rStyle w:val="Hyperlink"/>
                <w:b/>
                <w:color w:val="auto"/>
                <w:u w:val="none"/>
              </w:rPr>
              <w:t>FLAP mat</w:t>
            </w:r>
          </w:p>
          <w:p w:rsidR="00CD76AD" w:rsidRPr="00CD76AD" w:rsidRDefault="00CD76AD" w:rsidP="00CD76AD">
            <w:pPr>
              <w:rPr>
                <w:b/>
              </w:rPr>
            </w:pPr>
          </w:p>
        </w:tc>
      </w:tr>
    </w:tbl>
    <w:p w:rsidR="003E33D4" w:rsidRPr="00835A33" w:rsidRDefault="003E33D4">
      <w:pPr>
        <w:rPr>
          <w:rFonts w:asciiTheme="majorHAnsi" w:hAnsiTheme="majorHAnsi"/>
          <w:sz w:val="20"/>
          <w:szCs w:val="20"/>
        </w:rPr>
      </w:pPr>
    </w:p>
    <w:p w:rsidR="00A157A8" w:rsidRPr="00835A33" w:rsidRDefault="00A157A8">
      <w:pPr>
        <w:rPr>
          <w:rFonts w:asciiTheme="majorHAnsi" w:hAnsiTheme="majorHAnsi"/>
          <w:sz w:val="20"/>
          <w:szCs w:val="20"/>
        </w:rPr>
      </w:pPr>
    </w:p>
    <w:sectPr w:rsidR="00A157A8" w:rsidRPr="00835A33" w:rsidSect="001A6A9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008" w:rsidRDefault="00780008" w:rsidP="001240FD">
      <w:pPr>
        <w:spacing w:after="0" w:line="240" w:lineRule="auto"/>
      </w:pPr>
      <w:r>
        <w:separator/>
      </w:r>
    </w:p>
  </w:endnote>
  <w:endnote w:type="continuationSeparator" w:id="0">
    <w:p w:rsidR="00780008" w:rsidRDefault="00780008" w:rsidP="0012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008" w:rsidRDefault="00780008" w:rsidP="001240FD">
      <w:pPr>
        <w:spacing w:after="0" w:line="240" w:lineRule="auto"/>
      </w:pPr>
      <w:r>
        <w:separator/>
      </w:r>
    </w:p>
  </w:footnote>
  <w:footnote w:type="continuationSeparator" w:id="0">
    <w:p w:rsidR="00780008" w:rsidRDefault="00780008" w:rsidP="00124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A8" w:rsidRDefault="00A157A8">
    <w:pPr>
      <w:pStyle w:val="Header"/>
    </w:pPr>
    <w:r>
      <w:rPr>
        <w:noProof/>
        <w:lang w:val="en-US"/>
      </w:rPr>
      <w:drawing>
        <wp:anchor distT="0" distB="0" distL="114300" distR="114300" simplePos="0" relativeHeight="251658240" behindDoc="1" locked="0" layoutInCell="1" allowOverlap="1" wp14:anchorId="77389850" wp14:editId="51381AE4">
          <wp:simplePos x="0" y="0"/>
          <wp:positionH relativeFrom="column">
            <wp:posOffset>4403090</wp:posOffset>
          </wp:positionH>
          <wp:positionV relativeFrom="paragraph">
            <wp:posOffset>-387985</wp:posOffset>
          </wp:positionV>
          <wp:extent cx="2077085" cy="1195070"/>
          <wp:effectExtent l="171450" t="171450" r="380365" b="367030"/>
          <wp:wrapTight wrapText="bothSides">
            <wp:wrapPolygon edited="0">
              <wp:start x="2179" y="-3099"/>
              <wp:lineTo x="-1783" y="-2410"/>
              <wp:lineTo x="-1783" y="23069"/>
              <wp:lineTo x="-991" y="25135"/>
              <wp:lineTo x="-991" y="25479"/>
              <wp:lineTo x="991" y="27201"/>
              <wp:lineTo x="1189" y="27889"/>
              <wp:lineTo x="22386" y="27889"/>
              <wp:lineTo x="22584" y="27201"/>
              <wp:lineTo x="24367" y="25135"/>
              <wp:lineTo x="25159" y="19970"/>
              <wp:lineTo x="25357" y="1377"/>
              <wp:lineTo x="22584" y="-2410"/>
              <wp:lineTo x="21395" y="-3099"/>
              <wp:lineTo x="2179" y="-3099"/>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ding Image.jpg"/>
                  <pic:cNvPicPr/>
                </pic:nvPicPr>
                <pic:blipFill>
                  <a:blip r:embed="rId1">
                    <a:extLst>
                      <a:ext uri="{28A0092B-C50C-407E-A947-70E740481C1C}">
                        <a14:useLocalDpi xmlns:a14="http://schemas.microsoft.com/office/drawing/2010/main" val="0"/>
                      </a:ext>
                    </a:extLst>
                  </a:blip>
                  <a:stretch>
                    <a:fillRect/>
                  </a:stretch>
                </pic:blipFill>
                <pic:spPr>
                  <a:xfrm>
                    <a:off x="0" y="0"/>
                    <a:ext cx="2077085" cy="119507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4A9"/>
    <w:multiLevelType w:val="hybridMultilevel"/>
    <w:tmpl w:val="7A58E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2E7085"/>
    <w:multiLevelType w:val="hybridMultilevel"/>
    <w:tmpl w:val="0B1209F2"/>
    <w:lvl w:ilvl="0" w:tplc="04090003">
      <w:start w:val="1"/>
      <w:numFmt w:val="bullet"/>
      <w:lvlText w:val="o"/>
      <w:lvlJc w:val="left"/>
      <w:pPr>
        <w:ind w:left="1540" w:hanging="360"/>
      </w:pPr>
      <w:rPr>
        <w:rFonts w:ascii="Courier New" w:hAnsi="Courier New" w:cs="Courier New"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nsid w:val="28C36DC5"/>
    <w:multiLevelType w:val="hybridMultilevel"/>
    <w:tmpl w:val="DDA0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31739F"/>
    <w:multiLevelType w:val="hybridMultilevel"/>
    <w:tmpl w:val="164E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2C0541"/>
    <w:multiLevelType w:val="hybridMultilevel"/>
    <w:tmpl w:val="3D88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CD3310"/>
    <w:multiLevelType w:val="hybridMultilevel"/>
    <w:tmpl w:val="26E8ED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BDB7CCB"/>
    <w:multiLevelType w:val="hybridMultilevel"/>
    <w:tmpl w:val="9000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E13A26"/>
    <w:multiLevelType w:val="hybridMultilevel"/>
    <w:tmpl w:val="25E88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066D38"/>
    <w:multiLevelType w:val="hybridMultilevel"/>
    <w:tmpl w:val="8F285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F751F5"/>
    <w:multiLevelType w:val="hybridMultilevel"/>
    <w:tmpl w:val="D182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6F11B7"/>
    <w:multiLevelType w:val="hybridMultilevel"/>
    <w:tmpl w:val="89CE2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BE2E40"/>
    <w:multiLevelType w:val="hybridMultilevel"/>
    <w:tmpl w:val="0F08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026DAC"/>
    <w:multiLevelType w:val="hybridMultilevel"/>
    <w:tmpl w:val="2D40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91A55F6"/>
    <w:multiLevelType w:val="hybridMultilevel"/>
    <w:tmpl w:val="C038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903BFC"/>
    <w:multiLevelType w:val="hybridMultilevel"/>
    <w:tmpl w:val="6566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22F353A"/>
    <w:multiLevelType w:val="multilevel"/>
    <w:tmpl w:val="5378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443DB2"/>
    <w:multiLevelType w:val="hybridMultilevel"/>
    <w:tmpl w:val="2E54A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7AB137C4"/>
    <w:multiLevelType w:val="hybridMultilevel"/>
    <w:tmpl w:val="1C380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B5A06B6"/>
    <w:multiLevelType w:val="hybridMultilevel"/>
    <w:tmpl w:val="3FAE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D7E23D5"/>
    <w:multiLevelType w:val="hybridMultilevel"/>
    <w:tmpl w:val="D6283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14"/>
  </w:num>
  <w:num w:numId="4">
    <w:abstractNumId w:val="6"/>
  </w:num>
  <w:num w:numId="5">
    <w:abstractNumId w:val="2"/>
  </w:num>
  <w:num w:numId="6">
    <w:abstractNumId w:val="15"/>
  </w:num>
  <w:num w:numId="7">
    <w:abstractNumId w:val="17"/>
  </w:num>
  <w:num w:numId="8">
    <w:abstractNumId w:val="18"/>
  </w:num>
  <w:num w:numId="9">
    <w:abstractNumId w:val="8"/>
  </w:num>
  <w:num w:numId="10">
    <w:abstractNumId w:val="3"/>
  </w:num>
  <w:num w:numId="11">
    <w:abstractNumId w:val="11"/>
  </w:num>
  <w:num w:numId="12">
    <w:abstractNumId w:val="4"/>
  </w:num>
  <w:num w:numId="13">
    <w:abstractNumId w:val="12"/>
  </w:num>
  <w:num w:numId="14">
    <w:abstractNumId w:val="1"/>
  </w:num>
  <w:num w:numId="15">
    <w:abstractNumId w:val="13"/>
  </w:num>
  <w:num w:numId="16">
    <w:abstractNumId w:val="5"/>
  </w:num>
  <w:num w:numId="17">
    <w:abstractNumId w:val="9"/>
  </w:num>
  <w:num w:numId="18">
    <w:abstractNumId w:val="10"/>
  </w:num>
  <w:num w:numId="19">
    <w:abstractNumId w:val="16"/>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0FD"/>
    <w:rsid w:val="001240FD"/>
    <w:rsid w:val="001A6A9A"/>
    <w:rsid w:val="001B6370"/>
    <w:rsid w:val="001C33F2"/>
    <w:rsid w:val="0031300F"/>
    <w:rsid w:val="003E33D4"/>
    <w:rsid w:val="00421776"/>
    <w:rsid w:val="0049472E"/>
    <w:rsid w:val="005027F4"/>
    <w:rsid w:val="00531419"/>
    <w:rsid w:val="00612C71"/>
    <w:rsid w:val="006A137F"/>
    <w:rsid w:val="00780008"/>
    <w:rsid w:val="00835A33"/>
    <w:rsid w:val="00873317"/>
    <w:rsid w:val="0092710A"/>
    <w:rsid w:val="009A0E1D"/>
    <w:rsid w:val="00A157A8"/>
    <w:rsid w:val="00A43082"/>
    <w:rsid w:val="00A55AAC"/>
    <w:rsid w:val="00CD76AD"/>
    <w:rsid w:val="00DB0172"/>
    <w:rsid w:val="00DF4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0FD"/>
    <w:rPr>
      <w:rFonts w:ascii="Tahoma" w:hAnsi="Tahoma" w:cs="Tahoma"/>
      <w:sz w:val="16"/>
      <w:szCs w:val="16"/>
    </w:rPr>
  </w:style>
  <w:style w:type="paragraph" w:styleId="Header">
    <w:name w:val="header"/>
    <w:basedOn w:val="Normal"/>
    <w:link w:val="HeaderChar"/>
    <w:uiPriority w:val="99"/>
    <w:unhideWhenUsed/>
    <w:rsid w:val="00124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0FD"/>
  </w:style>
  <w:style w:type="paragraph" w:styleId="Footer">
    <w:name w:val="footer"/>
    <w:basedOn w:val="Normal"/>
    <w:link w:val="FooterChar"/>
    <w:uiPriority w:val="99"/>
    <w:unhideWhenUsed/>
    <w:rsid w:val="00124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0FD"/>
  </w:style>
  <w:style w:type="table" w:styleId="TableGrid">
    <w:name w:val="Table Grid"/>
    <w:basedOn w:val="TableNormal"/>
    <w:uiPriority w:val="59"/>
    <w:rsid w:val="001240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1419"/>
    <w:pPr>
      <w:spacing w:after="0" w:line="240" w:lineRule="auto"/>
      <w:ind w:left="720"/>
      <w:contextualSpacing/>
    </w:pPr>
    <w:rPr>
      <w:rFonts w:eastAsiaTheme="minorEastAsia"/>
      <w:sz w:val="24"/>
      <w:szCs w:val="24"/>
      <w:lang w:val="en-US"/>
    </w:rPr>
  </w:style>
  <w:style w:type="character" w:styleId="Hyperlink">
    <w:name w:val="Hyperlink"/>
    <w:basedOn w:val="DefaultParagraphFont"/>
    <w:uiPriority w:val="99"/>
    <w:unhideWhenUsed/>
    <w:rsid w:val="00A430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0FD"/>
    <w:rPr>
      <w:rFonts w:ascii="Tahoma" w:hAnsi="Tahoma" w:cs="Tahoma"/>
      <w:sz w:val="16"/>
      <w:szCs w:val="16"/>
    </w:rPr>
  </w:style>
  <w:style w:type="paragraph" w:styleId="Header">
    <w:name w:val="header"/>
    <w:basedOn w:val="Normal"/>
    <w:link w:val="HeaderChar"/>
    <w:uiPriority w:val="99"/>
    <w:unhideWhenUsed/>
    <w:rsid w:val="00124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0FD"/>
  </w:style>
  <w:style w:type="paragraph" w:styleId="Footer">
    <w:name w:val="footer"/>
    <w:basedOn w:val="Normal"/>
    <w:link w:val="FooterChar"/>
    <w:uiPriority w:val="99"/>
    <w:unhideWhenUsed/>
    <w:rsid w:val="00124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0FD"/>
  </w:style>
  <w:style w:type="table" w:styleId="TableGrid">
    <w:name w:val="Table Grid"/>
    <w:basedOn w:val="TableNormal"/>
    <w:uiPriority w:val="59"/>
    <w:rsid w:val="001240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1419"/>
    <w:pPr>
      <w:spacing w:after="0" w:line="240" w:lineRule="auto"/>
      <w:ind w:left="720"/>
      <w:contextualSpacing/>
    </w:pPr>
    <w:rPr>
      <w:rFonts w:eastAsiaTheme="minorEastAsia"/>
      <w:sz w:val="24"/>
      <w:szCs w:val="24"/>
      <w:lang w:val="en-US"/>
    </w:rPr>
  </w:style>
  <w:style w:type="character" w:styleId="Hyperlink">
    <w:name w:val="Hyperlink"/>
    <w:basedOn w:val="DefaultParagraphFont"/>
    <w:uiPriority w:val="99"/>
    <w:unhideWhenUsed/>
    <w:rsid w:val="00A430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667494">
      <w:bodyDiv w:val="1"/>
      <w:marLeft w:val="0"/>
      <w:marRight w:val="0"/>
      <w:marTop w:val="0"/>
      <w:marBottom w:val="0"/>
      <w:divBdr>
        <w:top w:val="none" w:sz="0" w:space="0" w:color="auto"/>
        <w:left w:val="none" w:sz="0" w:space="0" w:color="auto"/>
        <w:bottom w:val="none" w:sz="0" w:space="0" w:color="auto"/>
        <w:right w:val="none" w:sz="0" w:space="0" w:color="auto"/>
      </w:divBdr>
    </w:div>
    <w:div w:id="839853885">
      <w:bodyDiv w:val="1"/>
      <w:marLeft w:val="0"/>
      <w:marRight w:val="0"/>
      <w:marTop w:val="0"/>
      <w:marBottom w:val="0"/>
      <w:divBdr>
        <w:top w:val="none" w:sz="0" w:space="0" w:color="auto"/>
        <w:left w:val="none" w:sz="0" w:space="0" w:color="auto"/>
        <w:bottom w:val="none" w:sz="0" w:space="0" w:color="auto"/>
        <w:right w:val="none" w:sz="0" w:space="0" w:color="auto"/>
      </w:divBdr>
    </w:div>
    <w:div w:id="924417154">
      <w:bodyDiv w:val="1"/>
      <w:marLeft w:val="0"/>
      <w:marRight w:val="0"/>
      <w:marTop w:val="0"/>
      <w:marBottom w:val="0"/>
      <w:divBdr>
        <w:top w:val="none" w:sz="0" w:space="0" w:color="auto"/>
        <w:left w:val="none" w:sz="0" w:space="0" w:color="auto"/>
        <w:bottom w:val="none" w:sz="0" w:space="0" w:color="auto"/>
        <w:right w:val="none" w:sz="0" w:space="0" w:color="auto"/>
      </w:divBdr>
      <w:divsChild>
        <w:div w:id="2086416902">
          <w:marLeft w:val="0"/>
          <w:marRight w:val="0"/>
          <w:marTop w:val="0"/>
          <w:marBottom w:val="0"/>
          <w:divBdr>
            <w:top w:val="none" w:sz="0" w:space="8" w:color="auto"/>
            <w:left w:val="none" w:sz="0" w:space="19" w:color="auto"/>
            <w:bottom w:val="none" w:sz="0" w:space="8" w:color="auto"/>
            <w:right w:val="single" w:sz="6" w:space="8" w:color="CACCDF"/>
          </w:divBdr>
        </w:div>
      </w:divsChild>
    </w:div>
    <w:div w:id="950015455">
      <w:bodyDiv w:val="1"/>
      <w:marLeft w:val="0"/>
      <w:marRight w:val="0"/>
      <w:marTop w:val="0"/>
      <w:marBottom w:val="0"/>
      <w:divBdr>
        <w:top w:val="none" w:sz="0" w:space="0" w:color="auto"/>
        <w:left w:val="none" w:sz="0" w:space="0" w:color="auto"/>
        <w:bottom w:val="none" w:sz="0" w:space="0" w:color="auto"/>
        <w:right w:val="none" w:sz="0" w:space="0" w:color="auto"/>
      </w:divBdr>
      <w:divsChild>
        <w:div w:id="639650225">
          <w:marLeft w:val="0"/>
          <w:marRight w:val="0"/>
          <w:marTop w:val="0"/>
          <w:marBottom w:val="0"/>
          <w:divBdr>
            <w:top w:val="none" w:sz="0" w:space="8" w:color="auto"/>
            <w:left w:val="none" w:sz="0" w:space="19" w:color="auto"/>
            <w:bottom w:val="none" w:sz="0" w:space="8" w:color="auto"/>
            <w:right w:val="single" w:sz="6" w:space="8" w:color="CACCDF"/>
          </w:divBdr>
        </w:div>
      </w:divsChild>
    </w:div>
    <w:div w:id="1352492488">
      <w:bodyDiv w:val="1"/>
      <w:marLeft w:val="0"/>
      <w:marRight w:val="0"/>
      <w:marTop w:val="0"/>
      <w:marBottom w:val="0"/>
      <w:divBdr>
        <w:top w:val="none" w:sz="0" w:space="0" w:color="auto"/>
        <w:left w:val="none" w:sz="0" w:space="0" w:color="auto"/>
        <w:bottom w:val="none" w:sz="0" w:space="0" w:color="auto"/>
        <w:right w:val="none" w:sz="0" w:space="0" w:color="auto"/>
      </w:divBdr>
    </w:div>
    <w:div w:id="1488012556">
      <w:bodyDiv w:val="1"/>
      <w:marLeft w:val="0"/>
      <w:marRight w:val="0"/>
      <w:marTop w:val="0"/>
      <w:marBottom w:val="0"/>
      <w:divBdr>
        <w:top w:val="none" w:sz="0" w:space="0" w:color="auto"/>
        <w:left w:val="none" w:sz="0" w:space="0" w:color="auto"/>
        <w:bottom w:val="none" w:sz="0" w:space="0" w:color="auto"/>
        <w:right w:val="none" w:sz="0" w:space="0" w:color="auto"/>
      </w:divBdr>
    </w:div>
    <w:div w:id="16194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youtube.com/watch?v=l4vx_E88x0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utube.com/watch?v=R2qIQ7gbTL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youtube.com/watch?v=l4vx_E88x0M" TargetMode="External"/><Relationship Id="rId4" Type="http://schemas.openxmlformats.org/officeDocument/2006/relationships/settings" Target="settings.xml"/><Relationship Id="rId9" Type="http://schemas.openxmlformats.org/officeDocument/2006/relationships/hyperlink" Target="http://www.youtube.com/watch?v=R2qIQ7gbTL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2076</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Louise Wallace</cp:lastModifiedBy>
  <cp:revision>2</cp:revision>
  <dcterms:created xsi:type="dcterms:W3CDTF">2015-02-27T09:19:00Z</dcterms:created>
  <dcterms:modified xsi:type="dcterms:W3CDTF">2015-02-27T09:19:00Z</dcterms:modified>
</cp:coreProperties>
</file>