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61DA0" w:rsidP="00661DA0" w:rsidRDefault="00661DA0" w14:paraId="507BA7C7" w14:textId="700B1997"/>
    <w:p w:rsidR="00A121CB" w:rsidP="00661DA0" w:rsidRDefault="00A121CB" w14:paraId="3DDC6BF0" w14:textId="6DC57692">
      <w:pPr>
        <w:rPr>
          <w:color w:val="000000"/>
          <w:sz w:val="24"/>
          <w:szCs w:val="24"/>
        </w:rPr>
      </w:pPr>
    </w:p>
    <w:p w:rsidR="00A121CB" w:rsidP="0474F270" w:rsidRDefault="294B64CC" w14:paraId="4C25BE1D" w14:textId="21B1A29E">
      <w:r>
        <w:rPr>
          <w:noProof/>
        </w:rPr>
        <w:drawing>
          <wp:inline distT="0" distB="0" distL="0" distR="0" wp14:anchorId="676B0B3B" wp14:editId="56879FB7">
            <wp:extent cx="1762125" cy="580920"/>
            <wp:effectExtent l="0" t="0" r="0" b="0"/>
            <wp:docPr id="117911667" name="Picture 117911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5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1CB" w:rsidP="00661DA0" w:rsidRDefault="00A121CB" w14:paraId="70B08EC9" w14:textId="21E3EAAA">
      <w:pPr>
        <w:rPr>
          <w:color w:val="000000"/>
          <w:sz w:val="24"/>
          <w:szCs w:val="24"/>
        </w:rPr>
      </w:pPr>
    </w:p>
    <w:p w:rsidR="00A121CB" w:rsidP="00A121CB" w:rsidRDefault="00A121CB" w14:paraId="6C7DE2FD" w14:textId="735E453E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Learning to teach Languages in Primary School Part 2 </w:t>
      </w:r>
    </w:p>
    <w:p w:rsidRPr="00A121CB" w:rsidR="00A121CB" w:rsidP="00A121CB" w:rsidRDefault="00A121CB" w14:paraId="24231385" w14:textId="508F77A6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New </w:t>
      </w:r>
      <w:r w:rsidRPr="00A121CB">
        <w:rPr>
          <w:b/>
          <w:color w:val="000000"/>
          <w:sz w:val="24"/>
          <w:szCs w:val="24"/>
          <w:u w:val="single"/>
        </w:rPr>
        <w:t>module LXT191</w:t>
      </w:r>
    </w:p>
    <w:p w:rsidR="00A121CB" w:rsidP="00661DA0" w:rsidRDefault="00A121CB" w14:paraId="3FAE4F87" w14:textId="77777777">
      <w:pPr>
        <w:rPr>
          <w:color w:val="000000"/>
          <w:sz w:val="24"/>
          <w:szCs w:val="24"/>
        </w:rPr>
      </w:pPr>
    </w:p>
    <w:p w:rsidRPr="00552E56" w:rsidR="00661DA0" w:rsidP="00661DA0" w:rsidRDefault="00661DA0" w14:paraId="32E04DEB" w14:textId="0375FF36">
      <w:p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a current student on </w:t>
      </w:r>
      <w:r w:rsidR="0065103D">
        <w:rPr>
          <w:color w:val="000000"/>
          <w:sz w:val="24"/>
          <w:szCs w:val="24"/>
        </w:rPr>
        <w:t xml:space="preserve">the </w:t>
      </w:r>
      <w:r>
        <w:rPr>
          <w:color w:val="000000"/>
          <w:sz w:val="24"/>
          <w:szCs w:val="24"/>
        </w:rPr>
        <w:t xml:space="preserve">Open University Teaching Languages in Primary modules </w:t>
      </w:r>
      <w:r w:rsidRPr="00552E56" w:rsidR="00552E56">
        <w:rPr>
          <w:bCs/>
          <w:color w:val="000000"/>
          <w:sz w:val="24"/>
          <w:szCs w:val="24"/>
        </w:rPr>
        <w:t>LXT192 French</w:t>
      </w:r>
      <w:r w:rsidR="002250FA">
        <w:rPr>
          <w:bCs/>
          <w:color w:val="000000"/>
          <w:sz w:val="24"/>
          <w:szCs w:val="24"/>
        </w:rPr>
        <w:t xml:space="preserve"> /</w:t>
      </w:r>
      <w:r w:rsidRPr="00552E56" w:rsidR="00552E56">
        <w:rPr>
          <w:bCs/>
          <w:color w:val="000000"/>
          <w:sz w:val="24"/>
          <w:szCs w:val="24"/>
        </w:rPr>
        <w:t xml:space="preserve"> LXT193 German</w:t>
      </w:r>
      <w:r w:rsidR="002250FA">
        <w:rPr>
          <w:bCs/>
          <w:color w:val="000000"/>
          <w:sz w:val="24"/>
          <w:szCs w:val="24"/>
        </w:rPr>
        <w:t xml:space="preserve"> /</w:t>
      </w:r>
      <w:r w:rsidRPr="00552E56" w:rsidR="00552E56">
        <w:rPr>
          <w:bCs/>
          <w:color w:val="000000"/>
          <w:sz w:val="24"/>
          <w:szCs w:val="24"/>
        </w:rPr>
        <w:t xml:space="preserve"> LXT194 Spanish</w:t>
      </w:r>
      <w:r w:rsidR="002250FA">
        <w:rPr>
          <w:bCs/>
          <w:color w:val="000000"/>
          <w:sz w:val="24"/>
          <w:szCs w:val="24"/>
        </w:rPr>
        <w:t xml:space="preserve"> /</w:t>
      </w:r>
      <w:r w:rsidRPr="00552E56" w:rsidR="00552E56">
        <w:rPr>
          <w:bCs/>
          <w:color w:val="000000"/>
          <w:sz w:val="24"/>
          <w:szCs w:val="24"/>
        </w:rPr>
        <w:t xml:space="preserve"> LXT197 Chinese</w:t>
      </w:r>
      <w:r>
        <w:rPr>
          <w:color w:val="000000"/>
          <w:sz w:val="24"/>
          <w:szCs w:val="24"/>
        </w:rPr>
        <w:t xml:space="preserve"> </w:t>
      </w:r>
      <w:r w:rsidR="00552E56">
        <w:rPr>
          <w:color w:val="000000"/>
          <w:sz w:val="24"/>
          <w:szCs w:val="24"/>
        </w:rPr>
        <w:t xml:space="preserve">I hope you will be interested in </w:t>
      </w:r>
      <w:r>
        <w:rPr>
          <w:color w:val="000000"/>
          <w:sz w:val="24"/>
          <w:szCs w:val="24"/>
        </w:rPr>
        <w:t>a new</w:t>
      </w:r>
      <w:r w:rsidR="002250F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follow-up to the existing </w:t>
      </w:r>
      <w:r w:rsidR="00552E56">
        <w:rPr>
          <w:color w:val="000000"/>
          <w:sz w:val="24"/>
          <w:szCs w:val="24"/>
        </w:rPr>
        <w:t>modules</w:t>
      </w:r>
      <w:r>
        <w:rPr>
          <w:color w:val="000000"/>
          <w:sz w:val="24"/>
          <w:szCs w:val="24"/>
        </w:rPr>
        <w:t>,</w:t>
      </w:r>
      <w:r w:rsidR="00552E56">
        <w:rPr>
          <w:color w:val="000000"/>
          <w:sz w:val="24"/>
          <w:szCs w:val="24"/>
        </w:rPr>
        <w:t xml:space="preserve"> entitled</w:t>
      </w:r>
      <w:r>
        <w:rPr>
          <w:color w:val="000000"/>
          <w:sz w:val="24"/>
          <w:szCs w:val="24"/>
        </w:rPr>
        <w:t xml:space="preserve"> </w:t>
      </w:r>
      <w:r w:rsidRPr="00552E56">
        <w:rPr>
          <w:b/>
          <w:color w:val="000000"/>
          <w:sz w:val="24"/>
          <w:szCs w:val="24"/>
        </w:rPr>
        <w:t xml:space="preserve">LXT191. </w:t>
      </w:r>
    </w:p>
    <w:p w:rsidR="00661DA0" w:rsidP="00661DA0" w:rsidRDefault="00661DA0" w14:paraId="6219F4EE" w14:textId="77777777">
      <w:pPr>
        <w:rPr>
          <w:color w:val="000000"/>
          <w:sz w:val="24"/>
          <w:szCs w:val="24"/>
        </w:rPr>
      </w:pPr>
    </w:p>
    <w:p w:rsidR="00661DA0" w:rsidP="00661DA0" w:rsidRDefault="00661DA0" w14:paraId="18D63005" w14:textId="71FC752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</w:t>
      </w:r>
      <w:r w:rsidR="006D5D22">
        <w:rPr>
          <w:color w:val="000000"/>
          <w:sz w:val="24"/>
          <w:szCs w:val="24"/>
        </w:rPr>
        <w:t>the LXT191</w:t>
      </w:r>
      <w:r>
        <w:rPr>
          <w:color w:val="000000"/>
          <w:sz w:val="24"/>
          <w:szCs w:val="24"/>
        </w:rPr>
        <w:t xml:space="preserve"> module:</w:t>
      </w:r>
    </w:p>
    <w:p w:rsidR="00661DA0" w:rsidP="00661DA0" w:rsidRDefault="00661DA0" w14:paraId="6BFCF652" w14:textId="77777777">
      <w:pPr>
        <w:rPr>
          <w:color w:val="000000"/>
          <w:sz w:val="24"/>
          <w:szCs w:val="24"/>
        </w:rPr>
      </w:pPr>
    </w:p>
    <w:p w:rsidRPr="006D5D22" w:rsidR="006D5D22" w:rsidP="00661DA0" w:rsidRDefault="00661DA0" w14:paraId="0E9A49AF" w14:textId="77777777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4"/>
          <w:szCs w:val="24"/>
        </w:rPr>
        <w:t>students currently on one of the 4 modules (LXT192 French, or LXT193 German, LXT194 Spanish, LXT197 Chinese) can continue their study in the same language</w:t>
      </w:r>
      <w:r w:rsidR="006D5D22">
        <w:rPr>
          <w:rFonts w:eastAsia="Times New Roman"/>
          <w:color w:val="000000"/>
          <w:sz w:val="24"/>
          <w:szCs w:val="24"/>
        </w:rPr>
        <w:t xml:space="preserve"> to </w:t>
      </w:r>
      <w:r w:rsidRPr="006D5D22" w:rsidR="006D5D22">
        <w:rPr>
          <w:sz w:val="24"/>
        </w:rPr>
        <w:t>a level of language proficiency equivalent to level A2 of the</w:t>
      </w:r>
    </w:p>
    <w:p w:rsidRPr="006D5D22" w:rsidR="00661DA0" w:rsidP="006D5D22" w:rsidRDefault="00980903" w14:paraId="6282A511" w14:textId="17C1F35E">
      <w:pPr>
        <w:pStyle w:val="ListParagraph"/>
        <w:rPr>
          <w:rFonts w:eastAsia="Times New Roman"/>
          <w:color w:val="000000"/>
          <w:sz w:val="32"/>
          <w:szCs w:val="24"/>
        </w:rPr>
      </w:pPr>
      <w:hyperlink w:history="1" r:id="rId10">
        <w:r w:rsidRPr="006D5D22" w:rsidR="006D5D22">
          <w:rPr>
            <w:rStyle w:val="Hyperlink"/>
            <w:rFonts w:cs="Arial"/>
            <w:color w:val="0E56A7"/>
            <w:sz w:val="24"/>
            <w14:textFill>
              <w14:solidFill>
                <w14:srgbClr w14:val="0E56A7">
                  <w14:lumMod w14:val="75000"/>
                  <w14:lumOff w14:val="25000"/>
                </w14:srgbClr>
              </w14:solidFill>
            </w14:textFill>
          </w:rPr>
          <w:t>Council of Europe’s Common European Framework of Reference for languages</w:t>
        </w:r>
      </w:hyperlink>
      <w:r w:rsidRPr="006D5D22" w:rsidR="006D5D22">
        <w:rPr>
          <w:color w:val="404040" w:themeColor="text1" w:themeTint="BF"/>
          <w:sz w:val="24"/>
        </w:rPr>
        <w:t xml:space="preserve"> </w:t>
      </w:r>
      <w:r w:rsidRPr="006D5D22" w:rsidR="006D5D22">
        <w:rPr>
          <w:sz w:val="24"/>
        </w:rPr>
        <w:t>(CEFR)</w:t>
      </w:r>
      <w:r w:rsidRPr="006D5D22" w:rsidR="00661DA0">
        <w:rPr>
          <w:rFonts w:eastAsia="Times New Roman"/>
          <w:sz w:val="32"/>
          <w:szCs w:val="24"/>
        </w:rPr>
        <w:t xml:space="preserve">. </w:t>
      </w:r>
    </w:p>
    <w:p w:rsidR="00661DA0" w:rsidP="00661DA0" w:rsidRDefault="00661DA0" w14:paraId="490371FD" w14:textId="77777777">
      <w:pPr>
        <w:rPr>
          <w:color w:val="000000"/>
          <w:sz w:val="24"/>
          <w:szCs w:val="24"/>
        </w:rPr>
      </w:pPr>
    </w:p>
    <w:p w:rsidR="00661DA0" w:rsidP="00661DA0" w:rsidRDefault="00661DA0" w14:paraId="2438D792" w14:textId="3834B867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teachers who already have </w:t>
      </w:r>
      <w:r w:rsidRPr="006D5D22" w:rsidR="006D5D22">
        <w:rPr>
          <w:rFonts w:cs="Arial"/>
          <w:sz w:val="24"/>
        </w:rPr>
        <w:t>a working knowledge of French, German, Spanish or Chinese to study this module, equivalent to A1 CEFR level</w:t>
      </w:r>
      <w:r w:rsidRPr="004C207B" w:rsidR="006D5D22">
        <w:rPr>
          <w:rFonts w:cs="Arial"/>
          <w:color w:val="404040" w:themeColor="text1" w:themeTint="BF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in one of the 4 languages, but did not study one of the 4 introductory modules, can directly enrol on the follow-up course, LXT191, to further develop their skills in that language and learn about primary languages pedagogy, without having to study one of introductory level modules as well.</w:t>
      </w:r>
    </w:p>
    <w:p w:rsidR="00661DA0" w:rsidP="00661DA0" w:rsidRDefault="00661DA0" w14:paraId="33B2BBA7" w14:textId="77777777">
      <w:pPr>
        <w:rPr>
          <w:color w:val="000000"/>
          <w:sz w:val="24"/>
          <w:szCs w:val="24"/>
        </w:rPr>
      </w:pPr>
    </w:p>
    <w:p w:rsidR="00661DA0" w:rsidP="00661DA0" w:rsidRDefault="00661DA0" w14:paraId="6AD5D7AC" w14:textId="7777777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LXT191: </w:t>
      </w:r>
    </w:p>
    <w:p w:rsidR="00661DA0" w:rsidP="00661DA0" w:rsidRDefault="00661DA0" w14:paraId="28BFD1CE" w14:textId="30C13DB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will follow the same format as the existing </w:t>
      </w:r>
      <w:r w:rsidR="001F5712">
        <w:rPr>
          <w:rFonts w:eastAsia="Times New Roman"/>
          <w:color w:val="000000"/>
          <w:sz w:val="24"/>
          <w:szCs w:val="24"/>
        </w:rPr>
        <w:t xml:space="preserve">LXT </w:t>
      </w:r>
      <w:r>
        <w:rPr>
          <w:rFonts w:eastAsia="Times New Roman"/>
          <w:color w:val="000000"/>
          <w:sz w:val="24"/>
          <w:szCs w:val="24"/>
        </w:rPr>
        <w:t>modules and will be offered in the 4 languages as well. We have made an improvement in that all course materials will now be on one website which makes navigation easier for students.</w:t>
      </w:r>
    </w:p>
    <w:p w:rsidR="00661DA0" w:rsidP="00661DA0" w:rsidRDefault="00661DA0" w14:paraId="61E08A19" w14:textId="59931258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will teach primary languages pedagogy in more depth and cover:</w:t>
      </w:r>
    </w:p>
    <w:p w:rsidR="00661DA0" w:rsidP="00661DA0" w:rsidRDefault="00661DA0" w14:paraId="7E1EDF1C" w14:textId="77777777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the skills of writing and reading, </w:t>
      </w:r>
    </w:p>
    <w:p w:rsidR="00661DA0" w:rsidP="00661DA0" w:rsidRDefault="00661DA0" w14:paraId="016222F2" w14:textId="2B691374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IDL with a special focus on outdoor learning as well as links with other key subject areas such as STEAM/MELTS and </w:t>
      </w:r>
      <w:r w:rsidR="006D5D22">
        <w:rPr>
          <w:rFonts w:eastAsia="Times New Roman"/>
          <w:color w:val="000000"/>
          <w:sz w:val="24"/>
          <w:szCs w:val="24"/>
        </w:rPr>
        <w:t>L</w:t>
      </w:r>
      <w:r>
        <w:rPr>
          <w:rFonts w:eastAsia="Times New Roman"/>
          <w:color w:val="000000"/>
          <w:sz w:val="24"/>
          <w:szCs w:val="24"/>
        </w:rPr>
        <w:t xml:space="preserve">anguages, </w:t>
      </w:r>
    </w:p>
    <w:p w:rsidR="00661DA0" w:rsidP="00661DA0" w:rsidRDefault="00661DA0" w14:paraId="2CE35570" w14:textId="77777777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learning and teaching of languages in multilingual contexts/communities.</w:t>
      </w:r>
    </w:p>
    <w:p w:rsidR="00661DA0" w:rsidP="785D313E" w:rsidRDefault="00661DA0" w14:paraId="28517405" w14:textId="10BCC65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785D313E">
        <w:rPr>
          <w:rFonts w:eastAsia="Times New Roman"/>
          <w:color w:val="000000" w:themeColor="text1"/>
          <w:sz w:val="24"/>
          <w:szCs w:val="24"/>
        </w:rPr>
        <w:t xml:space="preserve">Teachers who have started in one language on LXT192/3/4 and 7 </w:t>
      </w:r>
      <w:r w:rsidRPr="785D313E" w:rsidR="00FD5DE3">
        <w:rPr>
          <w:rFonts w:eastAsia="Times New Roman"/>
          <w:color w:val="000000" w:themeColor="text1"/>
          <w:sz w:val="24"/>
          <w:szCs w:val="24"/>
        </w:rPr>
        <w:t>and want to move to LXT191 would</w:t>
      </w:r>
      <w:r w:rsidRPr="785D313E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785D313E" w:rsidR="00FD5DE3">
        <w:rPr>
          <w:rFonts w:eastAsia="Times New Roman"/>
          <w:color w:val="000000" w:themeColor="text1"/>
          <w:sz w:val="24"/>
          <w:szCs w:val="24"/>
        </w:rPr>
        <w:t>be expected to</w:t>
      </w:r>
      <w:r w:rsidRPr="785D313E">
        <w:rPr>
          <w:rFonts w:eastAsia="Times New Roman"/>
          <w:color w:val="000000" w:themeColor="text1"/>
          <w:sz w:val="24"/>
          <w:szCs w:val="24"/>
        </w:rPr>
        <w:t xml:space="preserve"> continue studying </w:t>
      </w:r>
      <w:r w:rsidRPr="785D313E" w:rsidR="00FD5DE3">
        <w:rPr>
          <w:rFonts w:eastAsia="Times New Roman"/>
          <w:color w:val="000000" w:themeColor="text1"/>
          <w:sz w:val="24"/>
          <w:szCs w:val="24"/>
        </w:rPr>
        <w:t>the same</w:t>
      </w:r>
      <w:r w:rsidRPr="785D313E">
        <w:rPr>
          <w:rFonts w:eastAsia="Times New Roman"/>
          <w:color w:val="000000" w:themeColor="text1"/>
          <w:sz w:val="24"/>
          <w:szCs w:val="24"/>
        </w:rPr>
        <w:t xml:space="preserve"> language</w:t>
      </w:r>
      <w:r w:rsidRPr="785D313E" w:rsidR="00FD5DE3">
        <w:rPr>
          <w:rFonts w:eastAsia="Times New Roman"/>
          <w:color w:val="000000" w:themeColor="text1"/>
          <w:sz w:val="24"/>
          <w:szCs w:val="24"/>
        </w:rPr>
        <w:t xml:space="preserve"> to enhance their skills; unless they have proficiency in another </w:t>
      </w:r>
      <w:r w:rsidRPr="785D313E" w:rsidR="02418654">
        <w:rPr>
          <w:rFonts w:eastAsia="Times New Roman"/>
          <w:color w:val="000000" w:themeColor="text1"/>
          <w:sz w:val="24"/>
          <w:szCs w:val="24"/>
        </w:rPr>
        <w:t>language,</w:t>
      </w:r>
      <w:r w:rsidRPr="785D313E" w:rsidR="00FD5DE3">
        <w:rPr>
          <w:rFonts w:eastAsia="Times New Roman"/>
          <w:color w:val="000000" w:themeColor="text1"/>
          <w:sz w:val="24"/>
          <w:szCs w:val="24"/>
        </w:rPr>
        <w:t xml:space="preserve"> they want to improve further</w:t>
      </w:r>
      <w:r w:rsidRPr="785D313E">
        <w:rPr>
          <w:rFonts w:eastAsia="Times New Roman"/>
          <w:color w:val="000000" w:themeColor="text1"/>
          <w:sz w:val="24"/>
          <w:szCs w:val="24"/>
        </w:rPr>
        <w:t xml:space="preserve"> on LXT191. </w:t>
      </w:r>
      <w:r w:rsidRPr="785D313E" w:rsidR="00FD5DE3">
        <w:rPr>
          <w:rFonts w:eastAsia="Times New Roman"/>
          <w:color w:val="000000" w:themeColor="text1"/>
          <w:sz w:val="24"/>
          <w:szCs w:val="24"/>
        </w:rPr>
        <w:t>LXT191 can, however, only be studied once.</w:t>
      </w:r>
    </w:p>
    <w:p w:rsidR="00661DA0" w:rsidP="00661DA0" w:rsidRDefault="00661DA0" w14:paraId="57DCA9FC" w14:textId="7777777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In comparison with LXT192/3/4 and 7, it will have the same: </w:t>
      </w:r>
    </w:p>
    <w:p w:rsidR="00661DA0" w:rsidP="00661DA0" w:rsidRDefault="00661DA0" w14:paraId="477219A7" w14:textId="77777777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workload, </w:t>
      </w:r>
    </w:p>
    <w:p w:rsidR="00661DA0" w:rsidP="00661DA0" w:rsidRDefault="00661DA0" w14:paraId="7F4EE971" w14:textId="77777777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assessment structure, </w:t>
      </w:r>
    </w:p>
    <w:p w:rsidR="00661DA0" w:rsidP="00661DA0" w:rsidRDefault="00661DA0" w14:paraId="115E82B9" w14:textId="0D123BC5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students will gain 15 university credits and </w:t>
      </w:r>
      <w:r w:rsidR="00E47FFA">
        <w:rPr>
          <w:rFonts w:eastAsia="Times New Roman"/>
          <w:color w:val="000000"/>
          <w:sz w:val="24"/>
          <w:szCs w:val="24"/>
        </w:rPr>
        <w:t>as well as a completion certificate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E47FFA">
        <w:rPr>
          <w:rFonts w:eastAsia="Times New Roman"/>
          <w:color w:val="000000"/>
          <w:sz w:val="24"/>
          <w:szCs w:val="24"/>
        </w:rPr>
        <w:t>for their pedagogy study</w:t>
      </w:r>
      <w:r>
        <w:rPr>
          <w:rFonts w:eastAsia="Times New Roman"/>
          <w:color w:val="000000"/>
          <w:sz w:val="24"/>
          <w:szCs w:val="24"/>
        </w:rPr>
        <w:t xml:space="preserve">. </w:t>
      </w:r>
    </w:p>
    <w:p w:rsidR="00661DA0" w:rsidP="00661DA0" w:rsidRDefault="00661DA0" w14:paraId="71C9B19F" w14:textId="65E874EB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In their language study, students will reach the equivalent of the end of level A2 of </w:t>
      </w:r>
      <w:r w:rsidR="00E47FFA">
        <w:rPr>
          <w:rFonts w:eastAsia="Times New Roman"/>
          <w:color w:val="000000"/>
          <w:sz w:val="24"/>
          <w:szCs w:val="24"/>
        </w:rPr>
        <w:t>CEFR</w:t>
      </w:r>
      <w:r>
        <w:rPr>
          <w:rFonts w:eastAsia="Times New Roman"/>
          <w:color w:val="000000"/>
          <w:sz w:val="24"/>
          <w:szCs w:val="24"/>
        </w:rPr>
        <w:t xml:space="preserve"> (end of post-beginner level). After completing both courses, students would then be in a good position to go on to study one of our standard language courses at the OU should they want to improve their knowledge of the language they are studying further. </w:t>
      </w:r>
    </w:p>
    <w:p w:rsidR="00661DA0" w:rsidP="00661DA0" w:rsidRDefault="002250FA" w14:paraId="61B0065D" w14:textId="1745E412">
      <w:pPr>
        <w:rPr>
          <w:color w:val="000000"/>
          <w:sz w:val="24"/>
          <w:szCs w:val="24"/>
        </w:rPr>
      </w:pPr>
      <w:r w:rsidRPr="2795DD96" w:rsidR="002250FA">
        <w:rPr>
          <w:color w:val="000000" w:themeColor="text1" w:themeTint="FF" w:themeShade="FF"/>
          <w:sz w:val="24"/>
          <w:szCs w:val="24"/>
        </w:rPr>
        <w:t xml:space="preserve">The module </w:t>
      </w:r>
      <w:r w:rsidRPr="2795DD96" w:rsidR="00661DA0">
        <w:rPr>
          <w:color w:val="000000" w:themeColor="text1" w:themeTint="FF" w:themeShade="FF"/>
          <w:sz w:val="24"/>
          <w:szCs w:val="24"/>
        </w:rPr>
        <w:t>run</w:t>
      </w:r>
      <w:r w:rsidRPr="2795DD96" w:rsidR="002250FA">
        <w:rPr>
          <w:color w:val="000000" w:themeColor="text1" w:themeTint="FF" w:themeShade="FF"/>
          <w:sz w:val="24"/>
          <w:szCs w:val="24"/>
        </w:rPr>
        <w:t>s</w:t>
      </w:r>
      <w:r w:rsidRPr="2795DD96" w:rsidR="00661DA0">
        <w:rPr>
          <w:color w:val="000000" w:themeColor="text1" w:themeTint="FF" w:themeShade="FF"/>
          <w:sz w:val="24"/>
          <w:szCs w:val="24"/>
        </w:rPr>
        <w:t xml:space="preserve"> from October </w:t>
      </w:r>
      <w:r w:rsidRPr="2795DD96" w:rsidR="003628B9">
        <w:rPr>
          <w:color w:val="000000" w:themeColor="text1" w:themeTint="FF" w:themeShade="FF"/>
          <w:sz w:val="24"/>
          <w:szCs w:val="24"/>
        </w:rPr>
        <w:t>20</w:t>
      </w:r>
      <w:r w:rsidRPr="2795DD96" w:rsidR="4956E722">
        <w:rPr>
          <w:color w:val="000000" w:themeColor="text1" w:themeTint="FF" w:themeShade="FF"/>
          <w:sz w:val="24"/>
          <w:szCs w:val="24"/>
        </w:rPr>
        <w:t>2</w:t>
      </w:r>
      <w:r w:rsidRPr="2795DD96" w:rsidR="49EF82C5">
        <w:rPr>
          <w:color w:val="000000" w:themeColor="text1" w:themeTint="FF" w:themeShade="FF"/>
          <w:sz w:val="24"/>
          <w:szCs w:val="24"/>
        </w:rPr>
        <w:t>4</w:t>
      </w:r>
      <w:r w:rsidRPr="2795DD96" w:rsidR="003628B9">
        <w:rPr>
          <w:color w:val="000000" w:themeColor="text1" w:themeTint="FF" w:themeShade="FF"/>
          <w:sz w:val="24"/>
          <w:szCs w:val="24"/>
        </w:rPr>
        <w:t xml:space="preserve"> </w:t>
      </w:r>
      <w:r w:rsidRPr="2795DD96" w:rsidR="00661DA0">
        <w:rPr>
          <w:color w:val="000000" w:themeColor="text1" w:themeTint="FF" w:themeShade="FF"/>
          <w:sz w:val="24"/>
          <w:szCs w:val="24"/>
        </w:rPr>
        <w:t>to July</w:t>
      </w:r>
      <w:r w:rsidRPr="2795DD96" w:rsidR="003628B9">
        <w:rPr>
          <w:color w:val="000000" w:themeColor="text1" w:themeTint="FF" w:themeShade="FF"/>
          <w:sz w:val="24"/>
          <w:szCs w:val="24"/>
        </w:rPr>
        <w:t xml:space="preserve"> 20</w:t>
      </w:r>
      <w:r w:rsidRPr="2795DD96" w:rsidR="4DD10633">
        <w:rPr>
          <w:color w:val="000000" w:themeColor="text1" w:themeTint="FF" w:themeShade="FF"/>
          <w:sz w:val="24"/>
          <w:szCs w:val="24"/>
        </w:rPr>
        <w:t>2</w:t>
      </w:r>
      <w:r w:rsidRPr="2795DD96" w:rsidR="4EBCA0E8">
        <w:rPr>
          <w:color w:val="000000" w:themeColor="text1" w:themeTint="FF" w:themeShade="FF"/>
          <w:sz w:val="24"/>
          <w:szCs w:val="24"/>
        </w:rPr>
        <w:t>5</w:t>
      </w:r>
    </w:p>
    <w:p w:rsidR="00661DA0" w:rsidP="00661DA0" w:rsidRDefault="00661DA0" w14:paraId="38F10350" w14:textId="77777777">
      <w:pPr>
        <w:rPr>
          <w:color w:val="000000"/>
          <w:sz w:val="24"/>
          <w:szCs w:val="24"/>
        </w:rPr>
      </w:pPr>
    </w:p>
    <w:p w:rsidR="0002297C" w:rsidP="00661DA0" w:rsidRDefault="0093324C" w14:paraId="089EC8E9" w14:textId="516F2900">
      <w:pPr>
        <w:rPr>
          <w:b/>
          <w:bCs/>
          <w:color w:val="000000"/>
          <w:sz w:val="24"/>
          <w:szCs w:val="24"/>
        </w:rPr>
      </w:pPr>
      <w:r w:rsidRPr="785D313E">
        <w:rPr>
          <w:b/>
          <w:bCs/>
          <w:color w:val="000000" w:themeColor="text1"/>
          <w:sz w:val="24"/>
          <w:szCs w:val="24"/>
        </w:rPr>
        <w:t xml:space="preserve">If you are interested in this </w:t>
      </w:r>
      <w:r w:rsidRPr="785D313E" w:rsidR="75A6486C">
        <w:rPr>
          <w:b/>
          <w:bCs/>
          <w:color w:val="000000" w:themeColor="text1"/>
          <w:sz w:val="24"/>
          <w:szCs w:val="24"/>
        </w:rPr>
        <w:t>module,</w:t>
      </w:r>
      <w:r w:rsidRPr="785D313E">
        <w:rPr>
          <w:b/>
          <w:bCs/>
          <w:color w:val="000000" w:themeColor="text1"/>
          <w:sz w:val="24"/>
          <w:szCs w:val="24"/>
        </w:rPr>
        <w:t xml:space="preserve"> please discuss it with your</w:t>
      </w:r>
      <w:r w:rsidRPr="785D313E" w:rsidR="00661DA0">
        <w:rPr>
          <w:b/>
          <w:bCs/>
          <w:color w:val="000000" w:themeColor="text1"/>
          <w:sz w:val="24"/>
          <w:szCs w:val="24"/>
        </w:rPr>
        <w:t xml:space="preserve"> </w:t>
      </w:r>
      <w:r w:rsidRPr="785D313E" w:rsidR="00A121CB">
        <w:rPr>
          <w:b/>
          <w:bCs/>
          <w:color w:val="000000" w:themeColor="text1"/>
          <w:sz w:val="24"/>
          <w:szCs w:val="24"/>
        </w:rPr>
        <w:t xml:space="preserve">Consortium Lead </w:t>
      </w:r>
      <w:r w:rsidRPr="785D313E" w:rsidR="00E47FFA">
        <w:rPr>
          <w:b/>
          <w:bCs/>
          <w:color w:val="000000" w:themeColor="text1"/>
          <w:sz w:val="24"/>
          <w:szCs w:val="24"/>
        </w:rPr>
        <w:t>or your head teacher</w:t>
      </w:r>
      <w:r w:rsidRPr="785D313E">
        <w:rPr>
          <w:b/>
          <w:bCs/>
          <w:color w:val="000000" w:themeColor="text1"/>
          <w:sz w:val="24"/>
          <w:szCs w:val="24"/>
        </w:rPr>
        <w:t xml:space="preserve"> who will be able to let you know whether it is possible to have fees paid by sponsorship. </w:t>
      </w:r>
    </w:p>
    <w:p w:rsidR="00661DA0" w:rsidP="00661DA0" w:rsidRDefault="00661DA0" w14:paraId="4FB7F15B" w14:textId="77777777">
      <w:pPr>
        <w:rPr>
          <w:color w:val="000000"/>
          <w:sz w:val="24"/>
          <w:szCs w:val="24"/>
        </w:rPr>
      </w:pPr>
    </w:p>
    <w:p w:rsidR="00661DA0" w:rsidP="00661DA0" w:rsidRDefault="003628B9" w14:paraId="5EB315E2" w14:textId="2CA70954">
      <w:pPr>
        <w:rPr>
          <w:color w:val="000000"/>
          <w:sz w:val="24"/>
          <w:szCs w:val="24"/>
        </w:rPr>
      </w:pPr>
      <w:r w:rsidRPr="2795DD96" w:rsidR="003628B9">
        <w:rPr>
          <w:color w:val="000000" w:themeColor="text1" w:themeTint="FF" w:themeShade="FF"/>
          <w:sz w:val="24"/>
          <w:szCs w:val="24"/>
        </w:rPr>
        <w:t>The</w:t>
      </w:r>
      <w:r w:rsidRPr="2795DD96" w:rsidR="00661DA0">
        <w:rPr>
          <w:color w:val="000000" w:themeColor="text1" w:themeTint="FF" w:themeShade="FF"/>
          <w:sz w:val="24"/>
          <w:szCs w:val="24"/>
        </w:rPr>
        <w:t xml:space="preserve"> final enrolment date for these modules is </w:t>
      </w:r>
      <w:r w:rsidRPr="2795DD96" w:rsidR="7B69C832">
        <w:rPr>
          <w:b w:val="1"/>
          <w:bCs w:val="1"/>
          <w:color w:val="000000" w:themeColor="text1" w:themeTint="FF" w:themeShade="FF"/>
          <w:sz w:val="24"/>
          <w:szCs w:val="24"/>
        </w:rPr>
        <w:t>5</w:t>
      </w:r>
      <w:r w:rsidRPr="2795DD96" w:rsidR="7B69C832">
        <w:rPr>
          <w:b w:val="1"/>
          <w:bCs w:val="1"/>
          <w:color w:val="000000" w:themeColor="text1" w:themeTint="FF" w:themeShade="FF"/>
          <w:sz w:val="24"/>
          <w:szCs w:val="24"/>
          <w:vertAlign w:val="superscript"/>
        </w:rPr>
        <w:t>th</w:t>
      </w:r>
      <w:r w:rsidRPr="2795DD96" w:rsidR="7B69C832">
        <w:rPr>
          <w:b w:val="1"/>
          <w:bCs w:val="1"/>
          <w:color w:val="000000" w:themeColor="text1" w:themeTint="FF" w:themeShade="FF"/>
          <w:sz w:val="24"/>
          <w:szCs w:val="24"/>
        </w:rPr>
        <w:t xml:space="preserve"> September</w:t>
      </w:r>
      <w:r w:rsidRPr="2795DD96" w:rsidR="04732C08">
        <w:rPr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795DD96" w:rsidR="003628B9">
        <w:rPr>
          <w:b w:val="1"/>
          <w:bCs w:val="1"/>
          <w:color w:val="000000" w:themeColor="text1" w:themeTint="FF" w:themeShade="FF"/>
          <w:sz w:val="24"/>
          <w:szCs w:val="24"/>
        </w:rPr>
        <w:t>20</w:t>
      </w:r>
      <w:r w:rsidRPr="2795DD96" w:rsidR="2553EF67">
        <w:rPr>
          <w:b w:val="1"/>
          <w:bCs w:val="1"/>
          <w:color w:val="000000" w:themeColor="text1" w:themeTint="FF" w:themeShade="FF"/>
          <w:sz w:val="24"/>
          <w:szCs w:val="24"/>
        </w:rPr>
        <w:t>2</w:t>
      </w:r>
      <w:r w:rsidRPr="2795DD96" w:rsidR="4D7E3CE4">
        <w:rPr>
          <w:b w:val="1"/>
          <w:bCs w:val="1"/>
          <w:color w:val="000000" w:themeColor="text1" w:themeTint="FF" w:themeShade="FF"/>
          <w:sz w:val="24"/>
          <w:szCs w:val="24"/>
        </w:rPr>
        <w:t>4</w:t>
      </w:r>
      <w:r w:rsidRPr="2795DD96" w:rsidR="003628B9">
        <w:rPr>
          <w:b w:val="1"/>
          <w:bCs w:val="1"/>
          <w:color w:val="000000" w:themeColor="text1" w:themeTint="FF" w:themeShade="FF"/>
          <w:sz w:val="24"/>
          <w:szCs w:val="24"/>
        </w:rPr>
        <w:t>,</w:t>
      </w:r>
      <w:r w:rsidRPr="2795DD96" w:rsidR="00661DA0">
        <w:rPr>
          <w:color w:val="000000" w:themeColor="text1" w:themeTint="FF" w:themeShade="FF"/>
          <w:sz w:val="24"/>
          <w:szCs w:val="24"/>
        </w:rPr>
        <w:t xml:space="preserve"> but it would be advisable to have all students</w:t>
      </w:r>
      <w:r w:rsidRPr="2795DD96" w:rsidR="0002297C">
        <w:rPr>
          <w:color w:val="000000" w:themeColor="text1" w:themeTint="FF" w:themeShade="FF"/>
          <w:sz w:val="24"/>
          <w:szCs w:val="24"/>
        </w:rPr>
        <w:t>’</w:t>
      </w:r>
      <w:r w:rsidRPr="2795DD96" w:rsidR="00661DA0">
        <w:rPr>
          <w:color w:val="000000" w:themeColor="text1" w:themeTint="FF" w:themeShade="FF"/>
          <w:sz w:val="24"/>
          <w:szCs w:val="24"/>
        </w:rPr>
        <w:t xml:space="preserve"> registration documents </w:t>
      </w:r>
      <w:r w:rsidRPr="2795DD96" w:rsidR="00661DA0">
        <w:rPr>
          <w:color w:val="000000" w:themeColor="text1" w:themeTint="FF" w:themeShade="FF"/>
          <w:sz w:val="24"/>
          <w:szCs w:val="24"/>
        </w:rPr>
        <w:t>submitted</w:t>
      </w:r>
      <w:r w:rsidRPr="2795DD96" w:rsidR="00661DA0">
        <w:rPr>
          <w:color w:val="000000" w:themeColor="text1" w:themeTint="FF" w:themeShade="FF"/>
          <w:sz w:val="24"/>
          <w:szCs w:val="24"/>
        </w:rPr>
        <w:t xml:space="preserve"> by the </w:t>
      </w:r>
      <w:r w:rsidRPr="2795DD96" w:rsidR="00661DA0">
        <w:rPr>
          <w:b w:val="1"/>
          <w:bCs w:val="1"/>
          <w:color w:val="000000" w:themeColor="text1" w:themeTint="FF" w:themeShade="FF"/>
          <w:sz w:val="24"/>
          <w:szCs w:val="24"/>
        </w:rPr>
        <w:t>end of August</w:t>
      </w:r>
      <w:r w:rsidRPr="2795DD96" w:rsidR="00BA15D8">
        <w:rPr>
          <w:b w:val="1"/>
          <w:bCs w:val="1"/>
          <w:color w:val="000000" w:themeColor="text1" w:themeTint="FF" w:themeShade="FF"/>
          <w:sz w:val="24"/>
          <w:szCs w:val="24"/>
        </w:rPr>
        <w:t xml:space="preserve"> 20</w:t>
      </w:r>
      <w:r w:rsidRPr="2795DD96" w:rsidR="2079560F">
        <w:rPr>
          <w:b w:val="1"/>
          <w:bCs w:val="1"/>
          <w:color w:val="000000" w:themeColor="text1" w:themeTint="FF" w:themeShade="FF"/>
          <w:sz w:val="24"/>
          <w:szCs w:val="24"/>
        </w:rPr>
        <w:t>2</w:t>
      </w:r>
      <w:r w:rsidRPr="2795DD96" w:rsidR="58298F95">
        <w:rPr>
          <w:b w:val="1"/>
          <w:bCs w:val="1"/>
          <w:color w:val="000000" w:themeColor="text1" w:themeTint="FF" w:themeShade="FF"/>
          <w:sz w:val="24"/>
          <w:szCs w:val="24"/>
        </w:rPr>
        <w:t>4</w:t>
      </w:r>
      <w:r w:rsidRPr="2795DD96" w:rsidR="00661DA0">
        <w:rPr>
          <w:color w:val="000000" w:themeColor="text1" w:themeTint="FF" w:themeShade="FF"/>
          <w:sz w:val="24"/>
          <w:szCs w:val="24"/>
        </w:rPr>
        <w:t xml:space="preserve"> to ensure students’ access to the modules is not delayed by any issues which arise during processing of these documents.</w:t>
      </w:r>
      <w:r w:rsidRPr="2795DD96" w:rsidR="00661DA0">
        <w:rPr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2250FA" w:rsidP="00661DA0" w:rsidRDefault="002250FA" w14:paraId="175B798A" w14:textId="77777777">
      <w:pPr>
        <w:rPr>
          <w:color w:val="000000"/>
          <w:sz w:val="24"/>
          <w:szCs w:val="24"/>
        </w:rPr>
      </w:pPr>
    </w:p>
    <w:p w:rsidR="00A121CB" w:rsidP="00661DA0" w:rsidRDefault="00A121CB" w14:paraId="724D4408" w14:textId="77777777">
      <w:pPr>
        <w:pStyle w:val="xmsonormal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bookmarkStart w:name="x__Hlk495413069" w:id="0"/>
      <w:bookmarkEnd w:id="0"/>
    </w:p>
    <w:p w:rsidR="00871F73" w:rsidRDefault="00871F73" w14:paraId="58DFC65B" w14:textId="77777777"/>
    <w:sectPr w:rsidR="00871F7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78F3"/>
    <w:multiLevelType w:val="multilevel"/>
    <w:tmpl w:val="A69C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F113763"/>
    <w:multiLevelType w:val="hybridMultilevel"/>
    <w:tmpl w:val="50BC94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50F76E2"/>
    <w:multiLevelType w:val="multilevel"/>
    <w:tmpl w:val="12F0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18861264">
    <w:abstractNumId w:val="0"/>
  </w:num>
  <w:num w:numId="2" w16cid:durableId="317615334">
    <w:abstractNumId w:val="1"/>
  </w:num>
  <w:num w:numId="3" w16cid:durableId="1237857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A0"/>
    <w:rsid w:val="0002297C"/>
    <w:rsid w:val="001F5712"/>
    <w:rsid w:val="002250FA"/>
    <w:rsid w:val="002669F9"/>
    <w:rsid w:val="003628B9"/>
    <w:rsid w:val="00552E56"/>
    <w:rsid w:val="0065103D"/>
    <w:rsid w:val="00661DA0"/>
    <w:rsid w:val="006D5D22"/>
    <w:rsid w:val="00871F73"/>
    <w:rsid w:val="0093324C"/>
    <w:rsid w:val="00944382"/>
    <w:rsid w:val="00980903"/>
    <w:rsid w:val="00A121CB"/>
    <w:rsid w:val="00BA15D8"/>
    <w:rsid w:val="00D36ED3"/>
    <w:rsid w:val="00D6705F"/>
    <w:rsid w:val="00E47FFA"/>
    <w:rsid w:val="00F00B57"/>
    <w:rsid w:val="00FD5DE3"/>
    <w:rsid w:val="00FE1E2C"/>
    <w:rsid w:val="02418654"/>
    <w:rsid w:val="04732C08"/>
    <w:rsid w:val="0474F270"/>
    <w:rsid w:val="10B35EBA"/>
    <w:rsid w:val="13B7811C"/>
    <w:rsid w:val="2079560F"/>
    <w:rsid w:val="2553EF67"/>
    <w:rsid w:val="2795DD96"/>
    <w:rsid w:val="294B64CC"/>
    <w:rsid w:val="34DF6DBA"/>
    <w:rsid w:val="4956E722"/>
    <w:rsid w:val="49EF82C5"/>
    <w:rsid w:val="4D7E3CE4"/>
    <w:rsid w:val="4DD10633"/>
    <w:rsid w:val="4EBCA0E8"/>
    <w:rsid w:val="58298F95"/>
    <w:rsid w:val="6D230634"/>
    <w:rsid w:val="6F30FE01"/>
    <w:rsid w:val="75A6486C"/>
    <w:rsid w:val="785D313E"/>
    <w:rsid w:val="7B69C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D5903"/>
  <w15:chartTrackingRefBased/>
  <w15:docId w15:val="{CDA162A4-BD3E-4344-AB2C-38497C26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1DA0"/>
    <w:pPr>
      <w:spacing w:after="0" w:line="240" w:lineRule="auto"/>
    </w:pPr>
    <w:rPr>
      <w:rFonts w:ascii="Calibri" w:hAnsi="Calibri" w:cs="Calibri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D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1DA0"/>
    <w:pPr>
      <w:ind w:left="720"/>
      <w:contextualSpacing/>
    </w:pPr>
  </w:style>
  <w:style w:type="paragraph" w:styleId="xmsonormal" w:customStyle="1">
    <w:name w:val="x_msonormal"/>
    <w:basedOn w:val="Normal"/>
    <w:rsid w:val="00661DA0"/>
  </w:style>
  <w:style w:type="character" w:styleId="CommentReference">
    <w:name w:val="annotation reference"/>
    <w:basedOn w:val="DefaultParagraphFont"/>
    <w:uiPriority w:val="99"/>
    <w:semiHidden/>
    <w:unhideWhenUsed/>
    <w:rsid w:val="00552E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E5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52E56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E5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52E56"/>
    <w:rPr>
      <w:rFonts w:ascii="Calibri" w:hAnsi="Calibri" w:cs="Calibri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E5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52E56"/>
    <w:rPr>
      <w:rFonts w:ascii="Segoe UI" w:hAnsi="Segoe UI" w:cs="Segoe UI"/>
      <w:sz w:val="18"/>
      <w:szCs w:val="18"/>
      <w:lang w:eastAsia="en-GB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36E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5D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4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https://www.coe.int/en/web/common-european-framework-reference-languages/table-1-cefr-3.3-common-reference-levels-global-scale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3fba68-f23a-4c19-8ac2-62a05411b5e7">F3N3YD4ZW4ZP-605219323-22437</_dlc_DocId>
    <_dlc_DocIdUrl xmlns="c03fba68-f23a-4c19-8ac2-62a05411b5e7">
      <Url>https://openuniv.sharepoint.com/sites/srsc/student-recruitment-support-wales/_layouts/15/DocIdRedir.aspx?ID=F3N3YD4ZW4ZP-605219323-22437</Url>
      <Description>F3N3YD4ZW4ZP-605219323-22437</Description>
    </_dlc_DocIdUrl>
    <RoutingRuleDescription xmlns="http://schemas.microsoft.com/sharepoint/v3" xsi:nil="true"/>
    <Date_x002d_Time xmlns="f6b82c6c-50d3-4e3c-a839-ea497971fcd8" xsi:nil="true"/>
    <TaxCatchAll xmlns="e4476828-269d-41e7-8c7f-463a607b843c" xsi:nil="true"/>
    <lcf76f155ced4ddcb4097134ff3c332f xmlns="f6b82c6c-50d3-4e3c-a839-ea497971fcd8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112F67A5C584398C8B6DE3879DC4A" ma:contentTypeVersion="19" ma:contentTypeDescription="Create a new document." ma:contentTypeScope="" ma:versionID="f6623cefe8b1ca6e5a55996e3a46b53c">
  <xsd:schema xmlns:xsd="http://www.w3.org/2001/XMLSchema" xmlns:xs="http://www.w3.org/2001/XMLSchema" xmlns:p="http://schemas.microsoft.com/office/2006/metadata/properties" xmlns:ns1="http://schemas.microsoft.com/sharepoint/v3" xmlns:ns3="c03fba68-f23a-4c19-8ac2-62a05411b5e7" xmlns:ns4="f6b82c6c-50d3-4e3c-a839-ea497971fcd8" xmlns:ns5="e031a28e-3445-4cbe-b404-6d918af867ab" xmlns:ns6="e4476828-269d-41e7-8c7f-463a607b843c" targetNamespace="http://schemas.microsoft.com/office/2006/metadata/properties" ma:root="true" ma:fieldsID="4a721a1cc577ba314a4a068ebc26324e" ns1:_="" ns3:_="" ns4:_="" ns5:_="" ns6:_="">
    <xsd:import namespace="http://schemas.microsoft.com/sharepoint/v3"/>
    <xsd:import namespace="c03fba68-f23a-4c19-8ac2-62a05411b5e7"/>
    <xsd:import namespace="f6b82c6c-50d3-4e3c-a839-ea497971fcd8"/>
    <xsd:import namespace="e031a28e-3445-4cbe-b404-6d918af867ab"/>
    <xsd:import namespace="e4476828-269d-41e7-8c7f-463a607b843c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5:SharedWithUsers" minOccurs="0"/>
                <xsd:element ref="ns5:SharedWithDetails" minOccurs="0"/>
                <xsd:element ref="ns4:Date_x002d_Time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6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fba68-f23a-4c19-8ac2-62a05411b5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82c6c-50d3-4e3c-a839-ea497971f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Date_x002d_Time" ma:index="25" nillable="true" ma:displayName="Date-Time" ma:format="DateOnly" ma:internalName="Date_x002d_Time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1a28e-3445-4cbe-b404-6d918af867a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6828-269d-41e7-8c7f-463a607b843c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dba282fc-f0d7-4a6f-90b0-e5a450fc5dab}" ma:internalName="TaxCatchAll" ma:showField="CatchAllData" ma:web="c03fba68-f23a-4c19-8ac2-62a05411b5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93E575-DF41-4E35-8E27-D2C46965C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BC949-3F1D-4BF0-8B75-093AE8AA9E7F}">
  <ds:schemaRefs>
    <ds:schemaRef ds:uri="http://schemas.microsoft.com/office/2006/metadata/properties"/>
    <ds:schemaRef ds:uri="http://schemas.microsoft.com/office/infopath/2007/PartnerControls"/>
    <ds:schemaRef ds:uri="c03fba68-f23a-4c19-8ac2-62a05411b5e7"/>
    <ds:schemaRef ds:uri="http://schemas.microsoft.com/sharepoint/v3"/>
    <ds:schemaRef ds:uri="f6b82c6c-50d3-4e3c-a839-ea497971fcd8"/>
  </ds:schemaRefs>
</ds:datastoreItem>
</file>

<file path=customXml/itemProps3.xml><?xml version="1.0" encoding="utf-8"?>
<ds:datastoreItem xmlns:ds="http://schemas.openxmlformats.org/officeDocument/2006/customXml" ds:itemID="{C9400A9D-07D1-4D7C-A8CB-554208F4620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0F825BC-E31C-482A-8E93-AC5C6D4D5D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Jamie.Marshall</dc:creator>
  <cp:keywords/>
  <dc:description/>
  <cp:lastModifiedBy>Richard.Jenkins</cp:lastModifiedBy>
  <cp:revision>6</cp:revision>
  <dcterms:created xsi:type="dcterms:W3CDTF">2019-05-24T14:37:00Z</dcterms:created>
  <dcterms:modified xsi:type="dcterms:W3CDTF">2024-05-10T12:50:36Z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0x010100B05112F67A5C584398C8B6DE3879DC4A</vt:lpwstr>
  </property>
  <property fmtid="{D5CDD505-2E9C-101B-9397-08002B2CF9AE}" pid="3" name="_dlc_DocIdItemGuid">
    <vt:lpwstr>cf331469-a887-4bc9-b639-92d8360cf5a5</vt:lpwstr>
  </property>
  <property fmtid="{D5CDD505-2E9C-101B-9397-08002B2CF9AE}" pid="4" name="MediaServiceImageTags">
    <vt:lpwstr/>
  </property>
</Properties>
</file>